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482FB" w14:textId="562B72E6" w:rsidR="00361B1D" w:rsidRPr="009049DE" w:rsidRDefault="00361B1D" w:rsidP="00A31ACC">
      <w:pPr>
        <w:spacing w:line="440" w:lineRule="exact"/>
        <w:contextualSpacing/>
        <w:mirrorIndents/>
        <w:jc w:val="center"/>
        <w:rPr>
          <w:rFonts w:eastAsia="標楷體"/>
          <w:b/>
          <w:sz w:val="28"/>
          <w:szCs w:val="28"/>
        </w:rPr>
      </w:pPr>
      <w:r w:rsidRPr="009049DE">
        <w:rPr>
          <w:rFonts w:eastAsia="標楷體"/>
          <w:b/>
          <w:sz w:val="32"/>
          <w:szCs w:val="32"/>
        </w:rPr>
        <w:t>Affidavit</w:t>
      </w:r>
    </w:p>
    <w:tbl>
      <w:tblPr>
        <w:tblW w:w="4959" w:type="pct"/>
        <w:tblInd w:w="108" w:type="dxa"/>
        <w:tblCellMar>
          <w:top w:w="11" w:type="dxa"/>
          <w:left w:w="10" w:type="dxa"/>
          <w:bottom w:w="11" w:type="dxa"/>
          <w:right w:w="10" w:type="dxa"/>
        </w:tblCellMar>
        <w:tblLook w:val="04A0" w:firstRow="1" w:lastRow="0" w:firstColumn="1" w:lastColumn="0" w:noHBand="0" w:noVBand="1"/>
      </w:tblPr>
      <w:tblGrid>
        <w:gridCol w:w="561"/>
        <w:gridCol w:w="1860"/>
        <w:gridCol w:w="1813"/>
        <w:gridCol w:w="1731"/>
        <w:gridCol w:w="1190"/>
        <w:gridCol w:w="2920"/>
      </w:tblGrid>
      <w:tr w:rsidR="00361B1D" w:rsidRPr="003A30DC" w14:paraId="0ADEFE89" w14:textId="77777777" w:rsidTr="004C217F">
        <w:trPr>
          <w:trHeight w:val="228"/>
        </w:trPr>
        <w:tc>
          <w:tcPr>
            <w:tcW w:w="10075" w:type="dxa"/>
            <w:gridSpan w:val="6"/>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14:paraId="64B18F9A" w14:textId="77777777" w:rsidR="00361B1D" w:rsidRPr="000A1A6C" w:rsidRDefault="00361B1D" w:rsidP="00D26898">
            <w:pPr>
              <w:snapToGrid w:val="0"/>
              <w:spacing w:line="180" w:lineRule="exact"/>
              <w:ind w:left="480" w:hangingChars="300" w:hanging="480"/>
              <w:rPr>
                <w:rFonts w:eastAsia="標楷體"/>
                <w:b/>
                <w:sz w:val="16"/>
                <w:szCs w:val="16"/>
                <w:highlight w:val="yellow"/>
              </w:rPr>
            </w:pPr>
            <w:r w:rsidRPr="000A1A6C">
              <w:rPr>
                <w:rFonts w:eastAsia="標楷體"/>
                <w:b/>
                <w:sz w:val="16"/>
                <w:szCs w:val="16"/>
              </w:rPr>
              <w:t>Purpose: application for the type approval certificate for telecommunications terminal equipment</w:t>
            </w:r>
          </w:p>
        </w:tc>
      </w:tr>
      <w:tr w:rsidR="00361B1D" w:rsidRPr="00594EA6" w14:paraId="7B280805" w14:textId="77777777" w:rsidTr="004C217F">
        <w:trPr>
          <w:trHeight w:val="366"/>
        </w:trPr>
        <w:tc>
          <w:tcPr>
            <w:tcW w:w="561"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27D77D5A" w14:textId="77777777" w:rsidR="00361B1D" w:rsidRPr="00594EA6" w:rsidRDefault="00361B1D" w:rsidP="00D26898">
            <w:pPr>
              <w:snapToGrid w:val="0"/>
              <w:spacing w:line="200" w:lineRule="exact"/>
              <w:ind w:left="113" w:right="113"/>
              <w:jc w:val="center"/>
              <w:rPr>
                <w:rFonts w:eastAsia="標楷體"/>
                <w:sz w:val="18"/>
                <w:szCs w:val="18"/>
              </w:rPr>
            </w:pPr>
            <w:r w:rsidRPr="00594EA6">
              <w:rPr>
                <w:rFonts w:eastAsia="標楷體"/>
                <w:b/>
                <w:sz w:val="18"/>
                <w:szCs w:val="18"/>
              </w:rPr>
              <w:t>Equip. Info</w:t>
            </w:r>
          </w:p>
        </w:tc>
        <w:tc>
          <w:tcPr>
            <w:tcW w:w="9514" w:type="dxa"/>
            <w:gridSpan w:val="5"/>
            <w:tcBorders>
              <w:top w:val="single" w:sz="4" w:space="0" w:color="000000"/>
              <w:left w:val="single" w:sz="2" w:space="0" w:color="000000"/>
              <w:bottom w:val="single" w:sz="4" w:space="0" w:color="000000"/>
              <w:right w:val="single" w:sz="18" w:space="0" w:color="000000"/>
            </w:tcBorders>
            <w:shd w:val="clear" w:color="auto" w:fill="auto"/>
            <w:vAlign w:val="center"/>
          </w:tcPr>
          <w:p w14:paraId="10F0A649" w14:textId="77777777" w:rsidR="00361B1D" w:rsidRPr="000A1A6C" w:rsidRDefault="00361B1D" w:rsidP="00D26898">
            <w:pPr>
              <w:snapToGrid w:val="0"/>
              <w:spacing w:line="180" w:lineRule="exact"/>
              <w:jc w:val="both"/>
              <w:rPr>
                <w:rFonts w:eastAsia="標楷體"/>
                <w:sz w:val="16"/>
                <w:szCs w:val="16"/>
              </w:rPr>
            </w:pPr>
            <w:r w:rsidRPr="000A1A6C">
              <w:rPr>
                <w:rFonts w:eastAsia="標楷體"/>
                <w:sz w:val="16"/>
                <w:szCs w:val="16"/>
              </w:rPr>
              <w:t xml:space="preserve">The applicant applies for the type approval certificate for telecommunications terminal equipment </w:t>
            </w:r>
            <w:r>
              <w:rPr>
                <w:rFonts w:eastAsia="標楷體"/>
                <w:sz w:val="16"/>
                <w:szCs w:val="16"/>
              </w:rPr>
              <w:t>in accordance to</w:t>
            </w:r>
            <w:r w:rsidRPr="000A1A6C">
              <w:rPr>
                <w:rFonts w:eastAsia="標楷體"/>
                <w:sz w:val="16"/>
                <w:szCs w:val="16"/>
              </w:rPr>
              <w:t xml:space="preserve"> </w:t>
            </w:r>
            <w:r w:rsidRPr="000A1A6C">
              <w:rPr>
                <w:sz w:val="16"/>
                <w:szCs w:val="16"/>
              </w:rPr>
              <w:t xml:space="preserve">Regulations Governing Compliance Approval for </w:t>
            </w:r>
            <w:r w:rsidRPr="000A1A6C">
              <w:rPr>
                <w:rFonts w:eastAsia="標楷體"/>
                <w:sz w:val="16"/>
                <w:szCs w:val="16"/>
              </w:rPr>
              <w:t>telecommunications terminal equipment</w:t>
            </w:r>
            <w:r>
              <w:rPr>
                <w:sz w:val="16"/>
                <w:szCs w:val="16"/>
              </w:rPr>
              <w:t>:</w:t>
            </w:r>
          </w:p>
        </w:tc>
      </w:tr>
      <w:tr w:rsidR="00361B1D" w:rsidRPr="00594EA6" w14:paraId="16D11893" w14:textId="77777777" w:rsidTr="00733681">
        <w:trPr>
          <w:cantSplit/>
          <w:trHeight w:val="283"/>
        </w:trPr>
        <w:tc>
          <w:tcPr>
            <w:tcW w:w="561"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49C8AF49" w14:textId="77777777" w:rsidR="00361B1D" w:rsidRPr="00594EA6" w:rsidRDefault="00361B1D" w:rsidP="00D26898">
            <w:pPr>
              <w:snapToGrid w:val="0"/>
              <w:spacing w:line="200" w:lineRule="exact"/>
              <w:ind w:left="113" w:right="113"/>
              <w:jc w:val="center"/>
              <w:rPr>
                <w:rFonts w:eastAsia="標楷體"/>
                <w:b/>
                <w:sz w:val="18"/>
                <w:szCs w:val="18"/>
              </w:rPr>
            </w:pPr>
          </w:p>
        </w:tc>
        <w:tc>
          <w:tcPr>
            <w:tcW w:w="3673"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32F96CF2" w14:textId="77777777" w:rsidR="00361B1D" w:rsidRPr="000A1A6C" w:rsidRDefault="00361B1D" w:rsidP="00D26898">
            <w:pPr>
              <w:snapToGrid w:val="0"/>
              <w:spacing w:line="180" w:lineRule="exact"/>
              <w:jc w:val="center"/>
              <w:rPr>
                <w:rFonts w:eastAsia="標楷體"/>
                <w:sz w:val="16"/>
                <w:szCs w:val="16"/>
              </w:rPr>
            </w:pPr>
            <w:r w:rsidRPr="000A1A6C">
              <w:rPr>
                <w:rFonts w:eastAsia="標楷體"/>
                <w:sz w:val="16"/>
                <w:szCs w:val="16"/>
              </w:rPr>
              <w:t>Equipment name</w:t>
            </w: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D54932" w14:textId="77777777" w:rsidR="00361B1D" w:rsidRPr="000A1A6C" w:rsidRDefault="00361B1D" w:rsidP="00D26898">
            <w:pPr>
              <w:snapToGrid w:val="0"/>
              <w:spacing w:line="180" w:lineRule="exact"/>
              <w:jc w:val="center"/>
              <w:rPr>
                <w:rFonts w:eastAsia="標楷體"/>
                <w:sz w:val="16"/>
                <w:szCs w:val="16"/>
              </w:rPr>
            </w:pPr>
            <w:r w:rsidRPr="000A1A6C">
              <w:rPr>
                <w:rFonts w:eastAsia="標楷體"/>
                <w:sz w:val="16"/>
                <w:szCs w:val="16"/>
              </w:rPr>
              <w:t>Brand</w:t>
            </w:r>
          </w:p>
        </w:tc>
        <w:tc>
          <w:tcPr>
            <w:tcW w:w="292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0265CF5F" w14:textId="77777777" w:rsidR="00361B1D" w:rsidRPr="000A1A6C" w:rsidRDefault="00361B1D" w:rsidP="00D26898">
            <w:pPr>
              <w:snapToGrid w:val="0"/>
              <w:spacing w:line="180" w:lineRule="exact"/>
              <w:jc w:val="center"/>
              <w:rPr>
                <w:rFonts w:eastAsia="標楷體"/>
                <w:sz w:val="16"/>
                <w:szCs w:val="16"/>
              </w:rPr>
            </w:pPr>
            <w:r w:rsidRPr="000A1A6C">
              <w:rPr>
                <w:rFonts w:eastAsia="標楷體"/>
                <w:sz w:val="16"/>
                <w:szCs w:val="16"/>
              </w:rPr>
              <w:t>Model no.</w:t>
            </w:r>
          </w:p>
        </w:tc>
      </w:tr>
      <w:tr w:rsidR="005E7C3C" w:rsidRPr="00594EA6" w14:paraId="7C00042C" w14:textId="77777777" w:rsidTr="00733681">
        <w:trPr>
          <w:cantSplit/>
          <w:trHeight w:val="283"/>
        </w:trPr>
        <w:tc>
          <w:tcPr>
            <w:tcW w:w="561"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7D5442B9" w14:textId="77777777" w:rsidR="005E7C3C" w:rsidRPr="00594EA6" w:rsidRDefault="005E7C3C" w:rsidP="00D26898">
            <w:pPr>
              <w:snapToGrid w:val="0"/>
              <w:spacing w:line="200" w:lineRule="exact"/>
              <w:ind w:left="113" w:right="113"/>
              <w:jc w:val="center"/>
              <w:rPr>
                <w:rFonts w:eastAsia="標楷體"/>
                <w:b/>
                <w:sz w:val="18"/>
                <w:szCs w:val="18"/>
              </w:rPr>
            </w:pPr>
          </w:p>
        </w:tc>
        <w:tc>
          <w:tcPr>
            <w:tcW w:w="3673"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2490B1D6" w14:textId="77777777" w:rsidR="005E7C3C" w:rsidRPr="000A1A6C" w:rsidRDefault="005E7C3C" w:rsidP="00D26898">
            <w:pPr>
              <w:snapToGrid w:val="0"/>
              <w:spacing w:line="180" w:lineRule="exact"/>
              <w:jc w:val="center"/>
              <w:rPr>
                <w:rFonts w:eastAsia="標楷體"/>
                <w:sz w:val="16"/>
                <w:szCs w:val="16"/>
              </w:rPr>
            </w:pP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0337AE" w14:textId="77777777" w:rsidR="005E7C3C" w:rsidRPr="000A1A6C" w:rsidRDefault="005E7C3C" w:rsidP="00D26898">
            <w:pPr>
              <w:snapToGrid w:val="0"/>
              <w:spacing w:line="180" w:lineRule="exact"/>
              <w:jc w:val="center"/>
              <w:rPr>
                <w:rFonts w:eastAsia="標楷體"/>
                <w:sz w:val="16"/>
                <w:szCs w:val="16"/>
              </w:rPr>
            </w:pPr>
          </w:p>
        </w:tc>
        <w:tc>
          <w:tcPr>
            <w:tcW w:w="292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3C7BFF5A" w14:textId="77777777" w:rsidR="005E7C3C" w:rsidRPr="000A1A6C" w:rsidRDefault="005E7C3C" w:rsidP="00D26898">
            <w:pPr>
              <w:snapToGrid w:val="0"/>
              <w:spacing w:line="180" w:lineRule="exact"/>
              <w:jc w:val="center"/>
              <w:rPr>
                <w:rFonts w:eastAsia="標楷體"/>
                <w:sz w:val="16"/>
                <w:szCs w:val="16"/>
              </w:rPr>
            </w:pPr>
          </w:p>
        </w:tc>
      </w:tr>
      <w:tr w:rsidR="00361B1D" w:rsidRPr="00594EA6" w14:paraId="2AE56960" w14:textId="77777777" w:rsidTr="00733681">
        <w:trPr>
          <w:cantSplit/>
          <w:trHeight w:val="283"/>
        </w:trPr>
        <w:tc>
          <w:tcPr>
            <w:tcW w:w="561"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textDirection w:val="tbRlV"/>
            <w:vAlign w:val="center"/>
          </w:tcPr>
          <w:p w14:paraId="6EA8878F" w14:textId="77777777" w:rsidR="00361B1D" w:rsidRPr="00594EA6" w:rsidRDefault="00361B1D" w:rsidP="00D26898">
            <w:pPr>
              <w:snapToGrid w:val="0"/>
              <w:spacing w:line="200" w:lineRule="exact"/>
              <w:ind w:left="113" w:right="113"/>
              <w:jc w:val="center"/>
              <w:rPr>
                <w:rFonts w:eastAsia="標楷體"/>
                <w:b/>
                <w:sz w:val="18"/>
                <w:szCs w:val="18"/>
              </w:rPr>
            </w:pPr>
          </w:p>
        </w:tc>
        <w:tc>
          <w:tcPr>
            <w:tcW w:w="3673"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14:paraId="526566B8" w14:textId="77777777" w:rsidR="00361B1D" w:rsidRPr="000A1A6C" w:rsidRDefault="00361B1D" w:rsidP="00D26898">
            <w:pPr>
              <w:snapToGrid w:val="0"/>
              <w:spacing w:line="180" w:lineRule="exact"/>
              <w:jc w:val="center"/>
              <w:rPr>
                <w:rFonts w:eastAsia="標楷體"/>
                <w:sz w:val="16"/>
                <w:szCs w:val="16"/>
              </w:rPr>
            </w:pPr>
          </w:p>
        </w:tc>
        <w:tc>
          <w:tcPr>
            <w:tcW w:w="2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27EBB" w14:textId="77777777" w:rsidR="00361B1D" w:rsidRPr="000A1A6C" w:rsidRDefault="00361B1D" w:rsidP="00D26898">
            <w:pPr>
              <w:snapToGrid w:val="0"/>
              <w:spacing w:line="180" w:lineRule="exact"/>
              <w:jc w:val="center"/>
              <w:rPr>
                <w:rFonts w:eastAsia="標楷體"/>
                <w:sz w:val="16"/>
                <w:szCs w:val="16"/>
              </w:rPr>
            </w:pPr>
          </w:p>
        </w:tc>
        <w:tc>
          <w:tcPr>
            <w:tcW w:w="2920" w:type="dxa"/>
            <w:tcBorders>
              <w:top w:val="single" w:sz="4" w:space="0" w:color="000000"/>
              <w:left w:val="single" w:sz="4" w:space="0" w:color="000000"/>
              <w:bottom w:val="single" w:sz="4" w:space="0" w:color="000000"/>
              <w:right w:val="single" w:sz="18" w:space="0" w:color="000000"/>
            </w:tcBorders>
            <w:shd w:val="clear" w:color="auto" w:fill="auto"/>
            <w:vAlign w:val="center"/>
          </w:tcPr>
          <w:p w14:paraId="21649644" w14:textId="77777777" w:rsidR="00361B1D" w:rsidRPr="000A1A6C" w:rsidRDefault="00361B1D" w:rsidP="00D26898">
            <w:pPr>
              <w:snapToGrid w:val="0"/>
              <w:spacing w:line="180" w:lineRule="exact"/>
              <w:jc w:val="center"/>
              <w:rPr>
                <w:rFonts w:eastAsia="標楷體"/>
                <w:sz w:val="16"/>
                <w:szCs w:val="16"/>
              </w:rPr>
            </w:pPr>
          </w:p>
        </w:tc>
      </w:tr>
      <w:tr w:rsidR="00361B1D" w:rsidRPr="00594EA6" w14:paraId="192ABBAE" w14:textId="77777777" w:rsidTr="00733681">
        <w:trPr>
          <w:trHeight w:val="256"/>
        </w:trPr>
        <w:tc>
          <w:tcPr>
            <w:tcW w:w="561" w:type="dxa"/>
            <w:vMerge w:val="restart"/>
            <w:tcBorders>
              <w:top w:val="single" w:sz="4" w:space="0" w:color="000000"/>
              <w:left w:val="single" w:sz="18" w:space="0" w:color="000000"/>
              <w:right w:val="single" w:sz="2" w:space="0" w:color="000000"/>
            </w:tcBorders>
            <w:shd w:val="clear" w:color="auto" w:fill="auto"/>
            <w:tcMar>
              <w:top w:w="0" w:type="dxa"/>
              <w:left w:w="108" w:type="dxa"/>
              <w:bottom w:w="0" w:type="dxa"/>
              <w:right w:w="108" w:type="dxa"/>
            </w:tcMar>
            <w:textDirection w:val="tbRlV"/>
            <w:vAlign w:val="center"/>
          </w:tcPr>
          <w:p w14:paraId="3E0843F8" w14:textId="77777777" w:rsidR="00361B1D" w:rsidRPr="00594EA6" w:rsidRDefault="00361B1D" w:rsidP="00D26898">
            <w:pPr>
              <w:snapToGrid w:val="0"/>
              <w:spacing w:line="200" w:lineRule="exact"/>
              <w:ind w:left="113" w:right="113"/>
              <w:jc w:val="center"/>
              <w:rPr>
                <w:rFonts w:eastAsia="標楷體"/>
                <w:b/>
                <w:sz w:val="18"/>
                <w:szCs w:val="18"/>
              </w:rPr>
            </w:pPr>
            <w:r w:rsidRPr="00594EA6">
              <w:rPr>
                <w:rFonts w:eastAsia="標楷體"/>
                <w:b/>
                <w:sz w:val="18"/>
                <w:szCs w:val="18"/>
              </w:rPr>
              <w:t>Matters of affidavit</w:t>
            </w: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E244E7E" w14:textId="77777777" w:rsidR="00361B1D" w:rsidRPr="000A1A6C" w:rsidRDefault="00361B1D" w:rsidP="00D26898">
            <w:pPr>
              <w:snapToGrid w:val="0"/>
              <w:spacing w:line="180" w:lineRule="exact"/>
              <w:jc w:val="center"/>
              <w:rPr>
                <w:rFonts w:eastAsia="標楷體"/>
                <w:b/>
                <w:sz w:val="16"/>
                <w:szCs w:val="16"/>
              </w:rPr>
            </w:pPr>
            <w:r w:rsidRPr="000A1A6C">
              <w:rPr>
                <w:rFonts w:eastAsia="標楷體"/>
                <w:b/>
                <w:sz w:val="16"/>
                <w:szCs w:val="16"/>
              </w:rPr>
              <w:t>Item</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31E429F7" w14:textId="77777777" w:rsidR="00361B1D" w:rsidRPr="000A1A6C" w:rsidRDefault="00361B1D" w:rsidP="00D26898">
            <w:pPr>
              <w:snapToGrid w:val="0"/>
              <w:spacing w:line="180" w:lineRule="exact"/>
              <w:jc w:val="center"/>
              <w:rPr>
                <w:rFonts w:eastAsia="標楷體"/>
                <w:b/>
                <w:sz w:val="16"/>
                <w:szCs w:val="16"/>
              </w:rPr>
            </w:pPr>
            <w:r w:rsidRPr="000A1A6C">
              <w:rPr>
                <w:rFonts w:eastAsia="標楷體"/>
                <w:b/>
                <w:sz w:val="16"/>
                <w:szCs w:val="16"/>
              </w:rPr>
              <w:t>Description</w:t>
            </w:r>
          </w:p>
        </w:tc>
      </w:tr>
      <w:tr w:rsidR="00361B1D" w:rsidRPr="00594EA6" w14:paraId="49F87FF2"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176EB89D"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DAD0D92" w14:textId="548C9CF1" w:rsidR="00361B1D" w:rsidRPr="000A1A6C" w:rsidRDefault="005E7C3C" w:rsidP="005E7C3C">
            <w:pPr>
              <w:snapToGrid w:val="0"/>
              <w:spacing w:line="280" w:lineRule="exact"/>
              <w:ind w:leftChars="18" w:left="43"/>
              <w:rPr>
                <w:rFonts w:eastAsia="標楷體"/>
                <w:sz w:val="16"/>
                <w:szCs w:val="16"/>
              </w:rPr>
            </w:pPr>
            <w:r>
              <w:rPr>
                <w:rFonts w:ascii="Wingdings 2" w:eastAsia="Wingdings 2" w:hAnsi="Wingdings 2" w:cs="Wingdings 2"/>
                <w:szCs w:val="24"/>
              </w:rPr>
              <w:t></w:t>
            </w:r>
            <w:r w:rsidR="00361B1D" w:rsidRPr="000A1A6C">
              <w:rPr>
                <w:rFonts w:eastAsia="標楷體"/>
                <w:sz w:val="16"/>
                <w:szCs w:val="16"/>
              </w:rPr>
              <w:t>Cyber security</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42EE45CC" w14:textId="77777777" w:rsidR="00361B1D" w:rsidRPr="000A1A6C" w:rsidRDefault="00361B1D" w:rsidP="00D26898">
            <w:pPr>
              <w:snapToGrid w:val="0"/>
              <w:spacing w:line="180" w:lineRule="exact"/>
              <w:jc w:val="both"/>
              <w:rPr>
                <w:rFonts w:eastAsia="標楷體"/>
                <w:sz w:val="16"/>
                <w:szCs w:val="16"/>
              </w:rPr>
            </w:pPr>
            <w:r w:rsidRPr="000A1A6C">
              <w:rPr>
                <w:rFonts w:eastAsia="標楷體"/>
                <w:sz w:val="16"/>
                <w:szCs w:val="16"/>
              </w:rPr>
              <w:t xml:space="preserve">Declares not to declare qualification in a cyber security test based on the qualification in the review of communication interface, electromagnetic compatibility and electric safety for the type approval certificate for telecommunications terminal equipment. </w:t>
            </w:r>
          </w:p>
        </w:tc>
      </w:tr>
      <w:tr w:rsidR="00361B1D" w:rsidRPr="00594EA6" w14:paraId="6779BCD8"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5D5142C6"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17B9A4C" w14:textId="049FA80C" w:rsidR="00361B1D" w:rsidRPr="0012326E" w:rsidRDefault="005E7C3C" w:rsidP="005E7C3C">
            <w:pPr>
              <w:snapToGrid w:val="0"/>
              <w:spacing w:line="280" w:lineRule="exact"/>
              <w:ind w:leftChars="18" w:left="43"/>
              <w:rPr>
                <w:rFonts w:eastAsia="標楷體"/>
                <w:sz w:val="16"/>
                <w:szCs w:val="16"/>
              </w:rPr>
            </w:pPr>
            <w:r>
              <w:rPr>
                <w:rFonts w:ascii="Wingdings 2" w:eastAsia="Wingdings 2" w:hAnsi="Wingdings 2" w:cs="Wingdings 2"/>
                <w:szCs w:val="24"/>
              </w:rPr>
              <w:t></w:t>
            </w:r>
            <w:r w:rsidR="00361B1D" w:rsidRPr="0012326E">
              <w:rPr>
                <w:rFonts w:eastAsia="標楷體"/>
                <w:sz w:val="16"/>
                <w:szCs w:val="16"/>
              </w:rPr>
              <w:t>Consumer interests</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4DDB0C75" w14:textId="77777777"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 xml:space="preserve">Declares that each item of telecommunications terminal equipment sold in the market is provided with a user manual or instructions in traditional Chinese and that the contents of the manual or instructions provided match the version approved by the certification body. </w:t>
            </w:r>
          </w:p>
        </w:tc>
      </w:tr>
      <w:tr w:rsidR="00361B1D" w:rsidRPr="00594EA6" w14:paraId="17771BC1"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444E8A3A"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8D46F44" w14:textId="08F8956E" w:rsidR="00361B1D" w:rsidRPr="0012326E" w:rsidRDefault="005E7C3C" w:rsidP="005E7C3C">
            <w:pPr>
              <w:snapToGrid w:val="0"/>
              <w:spacing w:line="180" w:lineRule="exact"/>
              <w:ind w:leftChars="30" w:left="293" w:hangingChars="138" w:hanging="221"/>
              <w:rPr>
                <w:rFonts w:eastAsia="標楷體"/>
                <w:sz w:val="16"/>
                <w:szCs w:val="16"/>
              </w:rPr>
            </w:pPr>
            <w:r>
              <w:rPr>
                <w:rFonts w:ascii="標楷體" w:eastAsia="標楷體" w:hAnsi="標楷體" w:hint="eastAsia"/>
                <w:sz w:val="16"/>
                <w:szCs w:val="16"/>
              </w:rPr>
              <w:t xml:space="preserve">□ </w:t>
            </w:r>
            <w:r w:rsidR="00361B1D" w:rsidRPr="0012326E">
              <w:rPr>
                <w:rFonts w:eastAsia="標楷體"/>
                <w:sz w:val="16"/>
                <w:szCs w:val="16"/>
              </w:rPr>
              <w:t>Mobile phone's brand is Telecommunications business</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48BD4929" w14:textId="77777777"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1. Declares that the embedded software on the mobile phone has been tested by a laboratory accredited by the Taiwan Accreditation Foundation and conforms to Infocom Security Technical Inspection Guidelines of Embedded Software on Smartphone Systems announced by Taiwan Association of Information and Communication Standards.</w:t>
            </w:r>
          </w:p>
          <w:p w14:paraId="20AC9259" w14:textId="77777777"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2. Declares that there will be response and disclosure in the case of a security issue.</w:t>
            </w:r>
          </w:p>
        </w:tc>
      </w:tr>
      <w:tr w:rsidR="00361B1D" w:rsidRPr="00594EA6" w14:paraId="6BAEB7D5"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4F707029"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8308C23" w14:textId="04E467DD" w:rsidR="00361B1D" w:rsidRPr="0012326E" w:rsidRDefault="005E7C3C" w:rsidP="005E7C3C">
            <w:pPr>
              <w:snapToGrid w:val="0"/>
              <w:spacing w:line="180" w:lineRule="exact"/>
              <w:ind w:leftChars="4" w:left="292" w:hangingChars="176" w:hanging="282"/>
              <w:rPr>
                <w:rFonts w:eastAsia="標楷體" w:hint="eastAsia"/>
                <w:sz w:val="16"/>
                <w:szCs w:val="16"/>
              </w:rPr>
            </w:pPr>
            <w:r>
              <w:rPr>
                <w:rFonts w:ascii="標楷體" w:eastAsia="標楷體" w:hAnsi="標楷體" w:hint="eastAsia"/>
                <w:sz w:val="16"/>
                <w:szCs w:val="16"/>
              </w:rPr>
              <w:t>□</w:t>
            </w:r>
            <w:r w:rsidRPr="005E7C3C">
              <w:rPr>
                <w:rFonts w:eastAsia="標楷體"/>
                <w:sz w:val="16"/>
                <w:szCs w:val="16"/>
              </w:rPr>
              <w:t xml:space="preserve"> </w:t>
            </w:r>
            <w:r w:rsidR="00361B1D" w:rsidRPr="005E7C3C">
              <w:rPr>
                <w:rFonts w:eastAsia="標楷體"/>
                <w:sz w:val="16"/>
                <w:szCs w:val="16"/>
              </w:rPr>
              <w:t>Wireless telecommunications terminal equipment</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397CF0CF" w14:textId="6FA78A28"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 xml:space="preserve">1. Declares that the IMEI of the said telecommunications terminal equipment:           </w:t>
            </w:r>
            <w:proofErr w:type="gramStart"/>
            <w:r w:rsidRPr="0012326E">
              <w:rPr>
                <w:rFonts w:eastAsia="標楷體"/>
                <w:sz w:val="16"/>
                <w:szCs w:val="16"/>
              </w:rPr>
              <w:t xml:space="preserve">  ,</w:t>
            </w:r>
            <w:proofErr w:type="gramEnd"/>
            <w:r w:rsidRPr="0012326E">
              <w:rPr>
                <w:rFonts w:eastAsia="標楷體"/>
                <w:sz w:val="16"/>
                <w:szCs w:val="16"/>
              </w:rPr>
              <w:t xml:space="preserve"> is unique worldwide without repetition. </w:t>
            </w:r>
          </w:p>
          <w:p w14:paraId="092F03BA" w14:textId="77777777"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 xml:space="preserve">2. The warning “Appropriate use is advised to minimize the impact of electromagnetic waves” shall be shown on the outer packaging of the user manual or instructions and on the equipment body where it is clearly visible. </w:t>
            </w:r>
          </w:p>
        </w:tc>
      </w:tr>
      <w:tr w:rsidR="00361B1D" w:rsidRPr="00594EA6" w14:paraId="0330E962"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28CF483D"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C3352E2" w14:textId="4BC39835" w:rsidR="00361B1D" w:rsidRPr="0012326E" w:rsidRDefault="005E7C3C" w:rsidP="005E7C3C">
            <w:pPr>
              <w:snapToGrid w:val="0"/>
              <w:spacing w:line="180" w:lineRule="exact"/>
              <w:ind w:leftChars="16" w:left="292" w:hangingChars="159" w:hanging="254"/>
              <w:rPr>
                <w:rFonts w:eastAsia="標楷體" w:hint="eastAsia"/>
                <w:sz w:val="16"/>
                <w:szCs w:val="16"/>
              </w:rPr>
            </w:pPr>
            <w:r>
              <w:rPr>
                <w:rFonts w:ascii="標楷體" w:eastAsia="標楷體" w:hAnsi="標楷體" w:hint="eastAsia"/>
                <w:sz w:val="16"/>
                <w:szCs w:val="16"/>
              </w:rPr>
              <w:t xml:space="preserve">□ </w:t>
            </w:r>
            <w:r w:rsidR="00361B1D" w:rsidRPr="0012326E">
              <w:rPr>
                <w:rFonts w:eastAsia="標楷體"/>
                <w:sz w:val="16"/>
                <w:szCs w:val="16"/>
              </w:rPr>
              <w:t>Review material confidentiality</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57FF962C" w14:textId="70B30FAB"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Declares that the product has not yet been displayed or sold in Taiwan or any foreign country; for confidentiality, the applicant declares confidentiality for the</w:t>
            </w:r>
            <w:r w:rsidRPr="0012326E">
              <w:rPr>
                <w:sz w:val="16"/>
                <w:szCs w:val="16"/>
              </w:rPr>
              <w:t xml:space="preserve"> </w:t>
            </w:r>
            <w:r w:rsidR="004C217F">
              <w:rPr>
                <w:rFonts w:ascii="標楷體" w:eastAsia="標楷體" w:hAnsi="標楷體" w:hint="eastAsia"/>
                <w:sz w:val="16"/>
                <w:szCs w:val="16"/>
              </w:rPr>
              <w:t xml:space="preserve">□ </w:t>
            </w:r>
            <w:r w:rsidRPr="0012326E">
              <w:rPr>
                <w:rFonts w:eastAsia="標楷體"/>
                <w:sz w:val="16"/>
                <w:szCs w:val="16"/>
              </w:rPr>
              <w:t>Equipment name,</w:t>
            </w:r>
            <w:r w:rsidRPr="0012326E">
              <w:rPr>
                <w:rFonts w:eastAsia="標楷體" w:hint="eastAsia"/>
                <w:sz w:val="16"/>
                <w:szCs w:val="16"/>
              </w:rPr>
              <w:t xml:space="preserve"> </w:t>
            </w:r>
            <w:r w:rsidRPr="0012326E">
              <w:rPr>
                <w:rFonts w:eastAsia="標楷體"/>
                <w:sz w:val="16"/>
                <w:szCs w:val="16"/>
              </w:rPr>
              <w:t xml:space="preserve">□ brand and model, </w:t>
            </w:r>
            <w:r w:rsidR="004C217F">
              <w:rPr>
                <w:rFonts w:ascii="標楷體" w:eastAsia="標楷體" w:hAnsi="標楷體" w:hint="eastAsia"/>
                <w:sz w:val="16"/>
                <w:szCs w:val="16"/>
              </w:rPr>
              <w:t xml:space="preserve">□ </w:t>
            </w:r>
            <w:r w:rsidRPr="0012326E">
              <w:rPr>
                <w:rFonts w:eastAsia="標楷體"/>
                <w:sz w:val="16"/>
                <w:szCs w:val="16"/>
              </w:rPr>
              <w:t xml:space="preserve">type approval certificate; </w:t>
            </w:r>
            <w:r w:rsidR="004C217F">
              <w:rPr>
                <w:rFonts w:ascii="標楷體" w:eastAsia="標楷體" w:hAnsi="標楷體" w:hint="eastAsia"/>
                <w:sz w:val="16"/>
                <w:szCs w:val="16"/>
              </w:rPr>
              <w:t>□</w:t>
            </w:r>
            <w:r w:rsidRPr="0012326E">
              <w:rPr>
                <w:rFonts w:eastAsia="標楷體"/>
                <w:sz w:val="16"/>
                <w:szCs w:val="16"/>
              </w:rPr>
              <w:t xml:space="preserve"> photo(s) of appearance; □inspection or test report not including photos of interiors and circuit board; </w:t>
            </w:r>
            <w:r w:rsidR="004C217F">
              <w:rPr>
                <w:rFonts w:ascii="標楷體" w:eastAsia="標楷體" w:hAnsi="標楷體" w:hint="eastAsia"/>
                <w:sz w:val="16"/>
                <w:szCs w:val="16"/>
              </w:rPr>
              <w:t xml:space="preserve">□ </w:t>
            </w:r>
            <w:r w:rsidRPr="0012326E">
              <w:rPr>
                <w:rFonts w:eastAsia="標楷體"/>
                <w:sz w:val="16"/>
                <w:szCs w:val="16"/>
              </w:rPr>
              <w:t xml:space="preserve">photos of external power supply and accessories and </w:t>
            </w:r>
            <w:r w:rsidR="004C217F">
              <w:rPr>
                <w:rFonts w:ascii="標楷體" w:eastAsia="標楷體" w:hAnsi="標楷體" w:hint="eastAsia"/>
                <w:sz w:val="16"/>
                <w:szCs w:val="16"/>
              </w:rPr>
              <w:t xml:space="preserve">□ </w:t>
            </w:r>
            <w:r w:rsidRPr="0012326E">
              <w:rPr>
                <w:rFonts w:eastAsia="標楷體"/>
                <w:sz w:val="16"/>
                <w:szCs w:val="16"/>
              </w:rPr>
              <w:t xml:space="preserve">others: </w:t>
            </w:r>
            <w:r w:rsidRPr="0012326E">
              <w:rPr>
                <w:rFonts w:eastAsia="標楷體"/>
                <w:sz w:val="16"/>
                <w:szCs w:val="16"/>
                <w:u w:val="single"/>
              </w:rPr>
              <w:t xml:space="preserve">                   </w:t>
            </w:r>
            <w:r w:rsidRPr="0012326E">
              <w:rPr>
                <w:rFonts w:eastAsia="標楷體"/>
                <w:sz w:val="16"/>
                <w:szCs w:val="16"/>
              </w:rPr>
              <w:t xml:space="preserve"> of the telecommunications terminal equipment or non-plug-and-play restricted communication module in the said application; the confidentiality will not expire until: </w:t>
            </w:r>
            <w:r w:rsidRPr="0012326E">
              <w:rPr>
                <w:rFonts w:eastAsia="標楷體"/>
                <w:sz w:val="16"/>
                <w:szCs w:val="16"/>
                <w:u w:val="single"/>
              </w:rPr>
              <w:t xml:space="preserve">          </w:t>
            </w:r>
            <w:proofErr w:type="gramStart"/>
            <w:r w:rsidRPr="0012326E">
              <w:rPr>
                <w:rFonts w:eastAsia="標楷體"/>
                <w:sz w:val="16"/>
                <w:szCs w:val="16"/>
                <w:u w:val="single"/>
              </w:rPr>
              <w:t xml:space="preserve">  </w:t>
            </w:r>
            <w:r w:rsidRPr="0012326E">
              <w:rPr>
                <w:rFonts w:eastAsia="標楷體"/>
                <w:sz w:val="16"/>
                <w:szCs w:val="16"/>
              </w:rPr>
              <w:t xml:space="preserve"> (</w:t>
            </w:r>
            <w:proofErr w:type="gramEnd"/>
            <w:r w:rsidRPr="0012326E">
              <w:rPr>
                <w:rFonts w:eastAsia="標楷體"/>
                <w:sz w:val="16"/>
                <w:szCs w:val="16"/>
              </w:rPr>
              <w:t xml:space="preserve">date). In the case where the product is to be sold publicly during the confidentiality period, notice shall be given to the original certification body to cease the confidentiality prior to public sale. </w:t>
            </w:r>
          </w:p>
        </w:tc>
      </w:tr>
      <w:tr w:rsidR="00361B1D" w:rsidRPr="00594EA6" w14:paraId="77732618"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0B22FCFA"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60B6809" w14:textId="118CE369" w:rsidR="00361B1D" w:rsidRPr="0012326E" w:rsidRDefault="005E7C3C" w:rsidP="005E7C3C">
            <w:pPr>
              <w:snapToGrid w:val="0"/>
              <w:spacing w:line="180" w:lineRule="exact"/>
              <w:ind w:leftChars="25" w:left="292" w:hangingChars="145" w:hanging="232"/>
              <w:rPr>
                <w:rFonts w:eastAsia="標楷體" w:hint="eastAsia"/>
                <w:sz w:val="16"/>
                <w:szCs w:val="16"/>
              </w:rPr>
            </w:pPr>
            <w:r>
              <w:rPr>
                <w:rFonts w:ascii="標楷體" w:eastAsia="標楷體" w:hAnsi="標楷體" w:hint="eastAsia"/>
                <w:sz w:val="16"/>
                <w:szCs w:val="16"/>
              </w:rPr>
              <w:t xml:space="preserve">□ </w:t>
            </w:r>
            <w:r w:rsidR="00361B1D" w:rsidRPr="0012326E">
              <w:rPr>
                <w:rFonts w:eastAsia="標楷體"/>
                <w:sz w:val="16"/>
                <w:szCs w:val="16"/>
              </w:rPr>
              <w:t>3C product with display panel</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7EA2C708" w14:textId="77777777"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 xml:space="preserve">Declares that the following warnings and notifications are provided on each item of telecommunications terminal equipment sold in the market as required: </w:t>
            </w:r>
          </w:p>
          <w:p w14:paraId="45BA6CBA" w14:textId="77777777" w:rsidR="00361B1D" w:rsidRPr="0012326E" w:rsidRDefault="00361B1D" w:rsidP="00D26898">
            <w:pPr>
              <w:widowControl/>
              <w:shd w:val="clear" w:color="auto" w:fill="FFFFFF"/>
              <w:snapToGrid w:val="0"/>
              <w:spacing w:line="180" w:lineRule="exact"/>
              <w:ind w:leftChars="99" w:left="468" w:hangingChars="144" w:hanging="230"/>
              <w:jc w:val="both"/>
              <w:textAlignment w:val="top"/>
              <w:rPr>
                <w:rFonts w:eastAsia="標楷體"/>
                <w:sz w:val="16"/>
                <w:szCs w:val="16"/>
              </w:rPr>
            </w:pPr>
            <w:r w:rsidRPr="0012326E">
              <w:rPr>
                <w:rFonts w:eastAsia="標楷體"/>
                <w:sz w:val="16"/>
                <w:szCs w:val="16"/>
              </w:rPr>
              <w:t>1.</w:t>
            </w:r>
            <w:r w:rsidRPr="0012326E">
              <w:rPr>
                <w:rFonts w:eastAsia="標楷體" w:hint="eastAsia"/>
                <w:sz w:val="16"/>
                <w:szCs w:val="16"/>
              </w:rPr>
              <w:tab/>
            </w:r>
            <w:r w:rsidRPr="0012326E">
              <w:rPr>
                <w:rFonts w:eastAsia="標楷體"/>
                <w:sz w:val="16"/>
                <w:szCs w:val="16"/>
              </w:rPr>
              <w:t xml:space="preserve">The warning “Risk of possible damage to vision in case of excessive use” shall be provided on the equipment body, user manual and outer packaging; </w:t>
            </w:r>
          </w:p>
          <w:p w14:paraId="1BE9E7ED" w14:textId="77777777" w:rsidR="00361B1D" w:rsidRPr="0012326E" w:rsidRDefault="00361B1D" w:rsidP="00D26898">
            <w:pPr>
              <w:widowControl/>
              <w:shd w:val="clear" w:color="auto" w:fill="FFFFFF"/>
              <w:snapToGrid w:val="0"/>
              <w:spacing w:line="180" w:lineRule="exact"/>
              <w:ind w:leftChars="99" w:left="468" w:hangingChars="144" w:hanging="230"/>
              <w:jc w:val="both"/>
              <w:textAlignment w:val="top"/>
              <w:rPr>
                <w:rFonts w:eastAsia="標楷體"/>
                <w:sz w:val="16"/>
                <w:szCs w:val="16"/>
              </w:rPr>
            </w:pPr>
            <w:r w:rsidRPr="0012326E">
              <w:rPr>
                <w:rFonts w:eastAsia="標楷體"/>
                <w:sz w:val="16"/>
                <w:szCs w:val="16"/>
              </w:rPr>
              <w:t>2.</w:t>
            </w:r>
            <w:r w:rsidRPr="0012326E">
              <w:rPr>
                <w:rFonts w:eastAsia="標楷體" w:hint="eastAsia"/>
                <w:sz w:val="16"/>
                <w:szCs w:val="16"/>
              </w:rPr>
              <w:tab/>
            </w:r>
            <w:r w:rsidRPr="0012326E">
              <w:rPr>
                <w:rFonts w:eastAsia="標楷體"/>
                <w:sz w:val="16"/>
                <w:szCs w:val="16"/>
              </w:rPr>
              <w:t xml:space="preserve">The following notes shall be provided in the user manual and on the outer packaging: (1) Protect your eyes: rest eyes 10 minutes for every 30 minutes of use; (2) It is advised to keep children under 2 years old from looking into the screen and children above 2 years old from watching for more than an hour every day. </w:t>
            </w:r>
          </w:p>
        </w:tc>
      </w:tr>
      <w:tr w:rsidR="00361B1D" w:rsidRPr="00594EA6" w14:paraId="215383E7"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17894D00"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C9E59E0" w14:textId="793C3E4E" w:rsidR="00361B1D" w:rsidRPr="0012326E" w:rsidRDefault="005E7C3C" w:rsidP="00BF3A16">
            <w:pPr>
              <w:snapToGrid w:val="0"/>
              <w:spacing w:line="180" w:lineRule="exact"/>
              <w:ind w:leftChars="4" w:left="149" w:hangingChars="87" w:hanging="139"/>
              <w:rPr>
                <w:rFonts w:eastAsia="標楷體" w:hint="eastAsia"/>
                <w:sz w:val="16"/>
                <w:szCs w:val="16"/>
              </w:rPr>
            </w:pPr>
            <w:r>
              <w:rPr>
                <w:rFonts w:ascii="標楷體" w:eastAsia="標楷體" w:hAnsi="標楷體" w:hint="eastAsia"/>
                <w:sz w:val="16"/>
                <w:szCs w:val="16"/>
              </w:rPr>
              <w:t xml:space="preserve">□ </w:t>
            </w:r>
            <w:r w:rsidR="00361B1D" w:rsidRPr="0012326E">
              <w:rPr>
                <w:rFonts w:eastAsia="標楷體"/>
                <w:sz w:val="16"/>
                <w:szCs w:val="16"/>
              </w:rPr>
              <w:t>Power adaptor</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01EAA1F2" w14:textId="77777777" w:rsidR="00361B1D" w:rsidRPr="0012326E" w:rsidRDefault="00361B1D" w:rsidP="00D26898">
            <w:pPr>
              <w:snapToGrid w:val="0"/>
              <w:spacing w:line="180" w:lineRule="exact"/>
              <w:jc w:val="both"/>
              <w:rPr>
                <w:rFonts w:eastAsia="標楷體"/>
                <w:sz w:val="16"/>
                <w:szCs w:val="16"/>
              </w:rPr>
            </w:pPr>
            <w:r w:rsidRPr="0012326E">
              <w:rPr>
                <w:rFonts w:eastAsia="標楷體"/>
                <w:sz w:val="16"/>
                <w:szCs w:val="16"/>
              </w:rPr>
              <w:t xml:space="preserve">Declares that the connection interface, charging cable and power adaptor of the terminal equipment product of application meet the requirements specified in Figure B.1, Basic structure of connection interface and the durability requirements in B.2.2, General Properties of </w:t>
            </w:r>
            <w:r w:rsidRPr="0012326E">
              <w:rPr>
                <w:rFonts w:eastAsia="標楷體"/>
                <w:sz w:val="16"/>
                <w:szCs w:val="16"/>
              </w:rPr>
              <w:t>【</w:t>
            </w:r>
            <w:r w:rsidRPr="0012326E">
              <w:rPr>
                <w:rFonts w:eastAsia="標楷體"/>
                <w:sz w:val="16"/>
                <w:szCs w:val="16"/>
              </w:rPr>
              <w:t>CNS15285, General requirements and test methods for chargers used by mobile terminals and other hand-held ICT devices</w:t>
            </w:r>
            <w:r w:rsidRPr="0012326E">
              <w:rPr>
                <w:rFonts w:eastAsia="標楷體"/>
                <w:sz w:val="16"/>
                <w:szCs w:val="16"/>
              </w:rPr>
              <w:t>】</w:t>
            </w:r>
            <w:r w:rsidRPr="0012326E">
              <w:rPr>
                <w:rFonts w:eastAsia="標楷體"/>
                <w:sz w:val="16"/>
                <w:szCs w:val="16"/>
              </w:rPr>
              <w:t xml:space="preserve">. </w:t>
            </w:r>
          </w:p>
        </w:tc>
      </w:tr>
      <w:tr w:rsidR="00361B1D" w:rsidRPr="00594EA6" w14:paraId="00446D8B"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1BF7F73C" w14:textId="77777777" w:rsidR="00361B1D" w:rsidRPr="00594EA6" w:rsidRDefault="00361B1D" w:rsidP="00D26898">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C4FF3D2" w14:textId="0F549F84" w:rsidR="00361B1D" w:rsidRPr="0012326E" w:rsidRDefault="005E7C3C" w:rsidP="005E7C3C">
            <w:pPr>
              <w:snapToGrid w:val="0"/>
              <w:spacing w:line="180" w:lineRule="exact"/>
              <w:ind w:leftChars="25" w:left="292" w:hangingChars="145" w:hanging="232"/>
              <w:rPr>
                <w:rFonts w:eastAsia="標楷體" w:hint="eastAsia"/>
                <w:sz w:val="16"/>
                <w:szCs w:val="16"/>
              </w:rPr>
            </w:pPr>
            <w:r>
              <w:rPr>
                <w:rFonts w:ascii="標楷體" w:eastAsia="標楷體" w:hAnsi="標楷體" w:hint="eastAsia"/>
                <w:sz w:val="16"/>
                <w:szCs w:val="16"/>
              </w:rPr>
              <w:t xml:space="preserve">□ </w:t>
            </w:r>
            <w:r w:rsidR="00361B1D" w:rsidRPr="0012326E">
              <w:rPr>
                <w:rFonts w:eastAsia="標楷體"/>
                <w:sz w:val="16"/>
                <w:szCs w:val="16"/>
              </w:rPr>
              <w:t>Excluding telecommunicatio</w:t>
            </w:r>
            <w:r w:rsidR="008C1E3A" w:rsidRPr="0012326E">
              <w:rPr>
                <w:rFonts w:eastAsia="標楷體"/>
                <w:sz w:val="16"/>
                <w:szCs w:val="16"/>
              </w:rPr>
              <w:t>ns terminal equipment with 2G</w:t>
            </w:r>
            <w:r w:rsidR="004C217F">
              <w:rPr>
                <w:rFonts w:eastAsia="標楷體" w:hint="eastAsia"/>
                <w:sz w:val="16"/>
                <w:szCs w:val="16"/>
              </w:rPr>
              <w:t>, 3G</w:t>
            </w:r>
            <w:r w:rsidR="008C1E3A" w:rsidRPr="0012326E">
              <w:rPr>
                <w:rFonts w:eastAsia="標楷體"/>
                <w:sz w:val="16"/>
                <w:szCs w:val="16"/>
              </w:rPr>
              <w:t xml:space="preserve"> or</w:t>
            </w:r>
            <w:r w:rsidR="00361B1D" w:rsidRPr="0012326E">
              <w:rPr>
                <w:rFonts w:eastAsia="標楷體"/>
                <w:sz w:val="16"/>
                <w:szCs w:val="16"/>
              </w:rPr>
              <w:t xml:space="preserve"> </w:t>
            </w:r>
            <w:r w:rsidR="004C217F">
              <w:rPr>
                <w:rFonts w:eastAsia="標楷體" w:hint="eastAsia"/>
                <w:sz w:val="16"/>
                <w:szCs w:val="16"/>
              </w:rPr>
              <w:t>4</w:t>
            </w:r>
            <w:r w:rsidR="00361B1D" w:rsidRPr="0012326E">
              <w:rPr>
                <w:rFonts w:eastAsia="標楷體"/>
                <w:sz w:val="16"/>
                <w:szCs w:val="16"/>
              </w:rPr>
              <w:t>G functions</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2249B228" w14:textId="402810A2" w:rsidR="00361B1D" w:rsidRPr="0012326E" w:rsidRDefault="00361B1D" w:rsidP="008C1E3A">
            <w:pPr>
              <w:snapToGrid w:val="0"/>
              <w:spacing w:line="180" w:lineRule="exact"/>
              <w:jc w:val="both"/>
              <w:rPr>
                <w:rFonts w:eastAsia="標楷體"/>
                <w:sz w:val="16"/>
                <w:szCs w:val="16"/>
              </w:rPr>
            </w:pPr>
            <w:r w:rsidRPr="0012326E">
              <w:rPr>
                <w:rFonts w:eastAsia="標楷體"/>
                <w:sz w:val="16"/>
                <w:szCs w:val="16"/>
              </w:rPr>
              <w:t xml:space="preserve">Declares that the </w:t>
            </w:r>
            <w:r w:rsidR="004C217F" w:rsidRPr="004C217F">
              <w:rPr>
                <w:rFonts w:ascii="標楷體" w:eastAsia="標楷體" w:hAnsi="標楷體"/>
                <w:sz w:val="16"/>
                <w:szCs w:val="16"/>
              </w:rPr>
              <w:t xml:space="preserve">□GSM/□DCS/□WCDMA Band 1/□WCDMA Band 3/□WCDMA Band 7/□WCDMA Band 8/□LTE 700 MHz/□LTE 900 MHz/□LTE 1800 MHz/□LTE 2100 MHz/□LTE 2500 MHz </w:t>
            </w:r>
            <w:r w:rsidR="004C217F">
              <w:rPr>
                <w:rFonts w:ascii="標楷體" w:eastAsia="標楷體" w:hAnsi="標楷體" w:hint="eastAsia"/>
                <w:sz w:val="16"/>
                <w:szCs w:val="16"/>
              </w:rPr>
              <w:t>&amp;</w:t>
            </w:r>
            <w:r w:rsidR="004C217F" w:rsidRPr="004C217F">
              <w:rPr>
                <w:rFonts w:ascii="標楷體" w:eastAsia="標楷體" w:hAnsi="標楷體"/>
                <w:sz w:val="16"/>
                <w:szCs w:val="16"/>
              </w:rPr>
              <w:t xml:space="preserve"> 2600 MHz</w:t>
            </w:r>
            <w:r w:rsidRPr="0012326E">
              <w:rPr>
                <w:rFonts w:eastAsia="標楷體"/>
                <w:sz w:val="16"/>
                <w:szCs w:val="16"/>
              </w:rPr>
              <w:t xml:space="preserve"> </w:t>
            </w:r>
            <w:r w:rsidR="00032B6E" w:rsidRPr="0012326E">
              <w:rPr>
                <w:rFonts w:eastAsia="標楷體"/>
                <w:kern w:val="0"/>
                <w:sz w:val="16"/>
                <w:szCs w:val="16"/>
              </w:rPr>
              <w:t>telecommunications</w:t>
            </w:r>
            <w:r w:rsidR="00032B6E" w:rsidRPr="0012326E">
              <w:rPr>
                <w:rFonts w:eastAsia="標楷體"/>
                <w:sz w:val="16"/>
                <w:szCs w:val="16"/>
              </w:rPr>
              <w:t xml:space="preserve"> </w:t>
            </w:r>
            <w:r w:rsidRPr="0012326E">
              <w:rPr>
                <w:rFonts w:eastAsia="標楷體"/>
                <w:sz w:val="16"/>
                <w:szCs w:val="16"/>
              </w:rPr>
              <w:t>interface function has been deactivated via software or firmware for each item of telecommunications terminal equipment sold in the market.</w:t>
            </w:r>
          </w:p>
        </w:tc>
      </w:tr>
      <w:tr w:rsidR="00C50393" w:rsidRPr="00594EA6" w14:paraId="782CD5B2"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40A6CC95" w14:textId="77777777" w:rsidR="00C50393" w:rsidRPr="00594EA6" w:rsidRDefault="00C50393" w:rsidP="00C50393">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A034519" w14:textId="4025E06C" w:rsidR="00C50393" w:rsidRPr="00C50393" w:rsidRDefault="00C50393" w:rsidP="00C50393">
            <w:pPr>
              <w:snapToGrid w:val="0"/>
              <w:spacing w:line="180" w:lineRule="exact"/>
              <w:ind w:leftChars="25" w:left="292" w:hangingChars="145" w:hanging="232"/>
              <w:rPr>
                <w:rFonts w:ascii="標楷體" w:eastAsia="標楷體" w:hAnsi="標楷體" w:hint="eastAsia"/>
                <w:color w:val="000000" w:themeColor="text1"/>
                <w:sz w:val="16"/>
                <w:szCs w:val="16"/>
              </w:rPr>
            </w:pPr>
            <w:r w:rsidRPr="00C50393">
              <w:rPr>
                <w:rFonts w:ascii="標楷體" w:eastAsia="標楷體" w:hAnsi="標楷體" w:hint="eastAsia"/>
                <w:color w:val="000000" w:themeColor="text1"/>
                <w:sz w:val="16"/>
                <w:szCs w:val="16"/>
              </w:rPr>
              <w:t xml:space="preserve">□ </w:t>
            </w:r>
            <w:r w:rsidRPr="00C50393">
              <w:rPr>
                <w:rFonts w:eastAsia="標楷體"/>
                <w:color w:val="000000" w:themeColor="text1"/>
                <w:sz w:val="16"/>
                <w:szCs w:val="16"/>
              </w:rPr>
              <w:t xml:space="preserve">Telecommunications </w:t>
            </w:r>
            <w:r w:rsidRPr="00C50393">
              <w:rPr>
                <w:rFonts w:eastAsia="標楷體" w:hint="eastAsia"/>
                <w:color w:val="000000" w:themeColor="text1"/>
                <w:sz w:val="16"/>
                <w:szCs w:val="16"/>
              </w:rPr>
              <w:t>t</w:t>
            </w:r>
            <w:r w:rsidRPr="00C50393">
              <w:rPr>
                <w:rFonts w:eastAsia="標楷體"/>
                <w:color w:val="000000" w:themeColor="text1"/>
                <w:sz w:val="16"/>
                <w:szCs w:val="16"/>
              </w:rPr>
              <w:t>erminal equipment with 2G functions</w:t>
            </w:r>
            <w:r w:rsidRPr="00C50393">
              <w:rPr>
                <w:rFonts w:eastAsia="標楷體" w:hint="eastAsia"/>
                <w:color w:val="000000" w:themeColor="text1"/>
                <w:sz w:val="16"/>
                <w:szCs w:val="16"/>
              </w:rPr>
              <w:t xml:space="preserve"> </w:t>
            </w:r>
            <w:r w:rsidRPr="00C50393">
              <w:rPr>
                <w:rFonts w:eastAsia="標楷體"/>
                <w:color w:val="000000" w:themeColor="text1"/>
                <w:sz w:val="16"/>
                <w:szCs w:val="16"/>
              </w:rPr>
              <w:t>only</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4A7EA92C" w14:textId="081F6EEC" w:rsidR="00C50393" w:rsidRPr="00C50393" w:rsidRDefault="00C50393" w:rsidP="00C50393">
            <w:pPr>
              <w:snapToGrid w:val="0"/>
              <w:spacing w:line="180" w:lineRule="exact"/>
              <w:jc w:val="both"/>
              <w:rPr>
                <w:rFonts w:eastAsia="標楷體"/>
                <w:color w:val="000000" w:themeColor="text1"/>
                <w:sz w:val="16"/>
                <w:szCs w:val="16"/>
              </w:rPr>
            </w:pPr>
            <w:r w:rsidRPr="00C50393">
              <w:rPr>
                <w:rFonts w:eastAsia="標楷體"/>
                <w:color w:val="000000" w:themeColor="text1"/>
                <w:sz w:val="16"/>
                <w:szCs w:val="16"/>
              </w:rPr>
              <w:t>Declares that the expression “Attention: the 2G functions of this equipment are no longer being used in Taiwan due to discontinuation of 2G mobile telephone service in June 2017” shall be shown in the advertising material, outer packaging and user instructions of every piece of telecommunications terminal equipment sold in the market.</w:t>
            </w:r>
          </w:p>
        </w:tc>
      </w:tr>
      <w:tr w:rsidR="00C50393" w:rsidRPr="00594EA6" w14:paraId="4ED65357" w14:textId="77777777" w:rsidTr="00733681">
        <w:trPr>
          <w:trHeight w:val="380"/>
        </w:trPr>
        <w:tc>
          <w:tcPr>
            <w:tcW w:w="561" w:type="dxa"/>
            <w:vMerge/>
            <w:tcBorders>
              <w:left w:val="single" w:sz="18" w:space="0" w:color="000000"/>
              <w:right w:val="single" w:sz="4" w:space="0" w:color="auto"/>
            </w:tcBorders>
            <w:shd w:val="clear" w:color="auto" w:fill="auto"/>
            <w:tcMar>
              <w:top w:w="0" w:type="dxa"/>
              <w:left w:w="108" w:type="dxa"/>
              <w:bottom w:w="0" w:type="dxa"/>
              <w:right w:w="108" w:type="dxa"/>
            </w:tcMar>
            <w:vAlign w:val="center"/>
          </w:tcPr>
          <w:p w14:paraId="5AB480A2" w14:textId="77777777" w:rsidR="00C50393" w:rsidRPr="00594EA6" w:rsidRDefault="00C50393" w:rsidP="00C50393">
            <w:pPr>
              <w:snapToGrid w:val="0"/>
              <w:spacing w:line="200" w:lineRule="exact"/>
              <w:jc w:val="both"/>
              <w:rPr>
                <w:rFonts w:eastAsia="標楷體"/>
                <w:b/>
                <w:sz w:val="18"/>
                <w:szCs w:val="18"/>
              </w:rPr>
            </w:pPr>
          </w:p>
        </w:tc>
        <w:tc>
          <w:tcPr>
            <w:tcW w:w="5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4A2D6" w14:textId="6ED064DD" w:rsidR="00C50393" w:rsidRPr="0012326E" w:rsidRDefault="00C50393" w:rsidP="00C50393">
            <w:pPr>
              <w:snapToGrid w:val="0"/>
              <w:spacing w:line="180" w:lineRule="exact"/>
              <w:ind w:left="150" w:hangingChars="94" w:hanging="150"/>
              <w:rPr>
                <w:rFonts w:eastAsia="標楷體" w:hint="eastAsia"/>
                <w:sz w:val="16"/>
                <w:szCs w:val="16"/>
              </w:rPr>
            </w:pPr>
            <w:r w:rsidRPr="004C217F">
              <w:rPr>
                <w:rFonts w:ascii="標楷體" w:eastAsia="標楷體" w:hAnsi="標楷體"/>
                <w:sz w:val="16"/>
                <w:szCs w:val="16"/>
              </w:rPr>
              <w:t>□</w:t>
            </w:r>
            <w:r w:rsidRPr="00733681">
              <w:rPr>
                <w:rFonts w:eastAsia="標楷體"/>
                <w:sz w:val="16"/>
                <w:szCs w:val="16"/>
              </w:rPr>
              <w:t>Wireless telecommunications terminal equipment with the function of receiving voice services provided by mobile communication service operators</w:t>
            </w:r>
          </w:p>
        </w:tc>
        <w:tc>
          <w:tcPr>
            <w:tcW w:w="4110" w:type="dxa"/>
            <w:gridSpan w:val="2"/>
            <w:tcBorders>
              <w:top w:val="single" w:sz="4" w:space="0" w:color="000000"/>
              <w:left w:val="single" w:sz="4" w:space="0" w:color="auto"/>
              <w:bottom w:val="single" w:sz="4" w:space="0" w:color="000000"/>
              <w:right w:val="single" w:sz="18" w:space="0" w:color="000000"/>
            </w:tcBorders>
            <w:shd w:val="clear" w:color="auto" w:fill="auto"/>
            <w:vAlign w:val="center"/>
          </w:tcPr>
          <w:p w14:paraId="77067C2A" w14:textId="306BA490" w:rsidR="00C50393" w:rsidRPr="0012326E" w:rsidRDefault="00C50393" w:rsidP="00C50393">
            <w:pPr>
              <w:snapToGrid w:val="0"/>
              <w:spacing w:line="180" w:lineRule="exact"/>
              <w:jc w:val="both"/>
              <w:rPr>
                <w:rFonts w:eastAsia="標楷體"/>
                <w:sz w:val="16"/>
                <w:szCs w:val="16"/>
              </w:rPr>
            </w:pPr>
            <w:r w:rsidRPr="00733681">
              <w:rPr>
                <w:rFonts w:eastAsia="標楷體"/>
                <w:sz w:val="16"/>
                <w:szCs w:val="16"/>
              </w:rPr>
              <w:t>Guaranteed to support voice service functions (including emergency calls) using VoLTE.</w:t>
            </w:r>
          </w:p>
        </w:tc>
      </w:tr>
      <w:tr w:rsidR="00C50393" w:rsidRPr="00594EA6" w14:paraId="3DE0EDB6"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5C2B2C22" w14:textId="77777777" w:rsidR="00C50393" w:rsidRPr="00594EA6" w:rsidRDefault="00C50393" w:rsidP="00C50393">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0CBF579" w14:textId="363C8121" w:rsidR="00C50393" w:rsidRPr="0012326E" w:rsidRDefault="00C50393" w:rsidP="00C50393">
            <w:pPr>
              <w:snapToGrid w:val="0"/>
              <w:spacing w:line="180" w:lineRule="exact"/>
              <w:ind w:leftChars="21" w:left="292" w:hangingChars="151" w:hanging="242"/>
              <w:rPr>
                <w:rFonts w:eastAsia="標楷體" w:hint="eastAsia"/>
                <w:sz w:val="16"/>
                <w:szCs w:val="16"/>
              </w:rPr>
            </w:pPr>
            <w:r>
              <w:rPr>
                <w:rFonts w:ascii="標楷體" w:eastAsia="標楷體" w:hAnsi="標楷體" w:hint="eastAsia"/>
                <w:sz w:val="16"/>
                <w:szCs w:val="16"/>
              </w:rPr>
              <w:t xml:space="preserve">□ </w:t>
            </w:r>
            <w:r w:rsidRPr="0012326E">
              <w:rPr>
                <w:rFonts w:eastAsia="標楷體" w:hint="eastAsia"/>
                <w:sz w:val="16"/>
                <w:szCs w:val="16"/>
              </w:rPr>
              <w:t>M</w:t>
            </w:r>
            <w:r w:rsidRPr="0012326E">
              <w:rPr>
                <w:rFonts w:eastAsia="標楷體"/>
                <w:sz w:val="16"/>
                <w:szCs w:val="16"/>
              </w:rPr>
              <w:t>obile phones, tablets, smart TVs</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1B94FDFF" w14:textId="77777777" w:rsidR="00C50393" w:rsidRPr="0012326E" w:rsidRDefault="00C50393" w:rsidP="00C50393">
            <w:pPr>
              <w:snapToGrid w:val="0"/>
              <w:spacing w:line="180" w:lineRule="exact"/>
              <w:jc w:val="both"/>
              <w:rPr>
                <w:rFonts w:eastAsia="標楷體"/>
                <w:sz w:val="16"/>
                <w:szCs w:val="16"/>
              </w:rPr>
            </w:pPr>
            <w:r w:rsidRPr="0012326E">
              <w:rPr>
                <w:rFonts w:eastAsia="標楷體"/>
                <w:sz w:val="16"/>
                <w:szCs w:val="16"/>
              </w:rPr>
              <w:t>Declares that there is no</w:t>
            </w:r>
            <w:r w:rsidRPr="0012326E">
              <w:rPr>
                <w:rFonts w:eastAsia="標楷體" w:hint="eastAsia"/>
                <w:sz w:val="16"/>
                <w:szCs w:val="16"/>
              </w:rPr>
              <w:t xml:space="preserve"> </w:t>
            </w:r>
            <w:r w:rsidRPr="0012326E">
              <w:rPr>
                <w:rFonts w:eastAsia="標楷體"/>
                <w:sz w:val="16"/>
                <w:szCs w:val="16"/>
              </w:rPr>
              <w:t>agency or distribution by PRC Chinese, legal persons, organizations or other institutions engaged in OTT-TV and intermediate input services or related commercial services (such as "pre-loading" OTT TV application (app) from China)</w:t>
            </w:r>
          </w:p>
        </w:tc>
      </w:tr>
      <w:tr w:rsidR="00C50393" w:rsidRPr="00594EA6" w14:paraId="18C71D5D" w14:textId="77777777" w:rsidTr="00733681">
        <w:trPr>
          <w:trHeight w:val="380"/>
        </w:trPr>
        <w:tc>
          <w:tcPr>
            <w:tcW w:w="561" w:type="dxa"/>
            <w:vMerge/>
            <w:tcBorders>
              <w:left w:val="single" w:sz="18" w:space="0" w:color="000000"/>
              <w:right w:val="single" w:sz="2" w:space="0" w:color="000000"/>
            </w:tcBorders>
            <w:shd w:val="clear" w:color="auto" w:fill="auto"/>
            <w:tcMar>
              <w:top w:w="0" w:type="dxa"/>
              <w:left w:w="108" w:type="dxa"/>
              <w:bottom w:w="0" w:type="dxa"/>
              <w:right w:w="108" w:type="dxa"/>
            </w:tcMar>
            <w:vAlign w:val="center"/>
          </w:tcPr>
          <w:p w14:paraId="790C434B" w14:textId="77777777" w:rsidR="00C50393" w:rsidRPr="00594EA6" w:rsidRDefault="00C50393" w:rsidP="00C50393">
            <w:pPr>
              <w:snapToGrid w:val="0"/>
              <w:spacing w:line="200" w:lineRule="exact"/>
              <w:jc w:val="both"/>
              <w:rPr>
                <w:rFonts w:eastAsia="標楷體"/>
                <w:b/>
                <w:sz w:val="18"/>
                <w:szCs w:val="18"/>
              </w:rPr>
            </w:pPr>
          </w:p>
        </w:tc>
        <w:tc>
          <w:tcPr>
            <w:tcW w:w="186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03A3B27" w14:textId="193D2BE7" w:rsidR="00C50393" w:rsidRPr="000A1A6C" w:rsidRDefault="00C50393" w:rsidP="00C50393">
            <w:pPr>
              <w:snapToGrid w:val="0"/>
              <w:spacing w:line="180" w:lineRule="exact"/>
              <w:rPr>
                <w:rFonts w:eastAsia="標楷體" w:hint="eastAsia"/>
                <w:sz w:val="16"/>
                <w:szCs w:val="16"/>
              </w:rPr>
            </w:pPr>
            <w:r>
              <w:rPr>
                <w:rFonts w:ascii="標楷體" w:eastAsia="標楷體" w:hAnsi="標楷體" w:hint="eastAsia"/>
                <w:sz w:val="16"/>
                <w:szCs w:val="16"/>
              </w:rPr>
              <w:t xml:space="preserve">□ </w:t>
            </w:r>
            <w:r w:rsidRPr="000A1A6C">
              <w:rPr>
                <w:rFonts w:eastAsia="標楷體"/>
                <w:sz w:val="16"/>
                <w:szCs w:val="16"/>
              </w:rPr>
              <w:t>Statement of compliance</w:t>
            </w:r>
          </w:p>
        </w:tc>
        <w:tc>
          <w:tcPr>
            <w:tcW w:w="7654"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14:paraId="74FBFC5D" w14:textId="77777777" w:rsidR="00C50393" w:rsidRPr="000A1A6C" w:rsidRDefault="00C50393" w:rsidP="00C50393">
            <w:pPr>
              <w:snapToGrid w:val="0"/>
              <w:spacing w:line="180" w:lineRule="exact"/>
              <w:jc w:val="both"/>
              <w:rPr>
                <w:rFonts w:eastAsia="標楷體"/>
                <w:sz w:val="16"/>
                <w:szCs w:val="16"/>
              </w:rPr>
            </w:pPr>
            <w:r w:rsidRPr="000A1A6C">
              <w:rPr>
                <w:rFonts w:eastAsia="標楷體"/>
                <w:sz w:val="16"/>
                <w:szCs w:val="16"/>
              </w:rPr>
              <w:t xml:space="preserve">Declares that the telecommunications terminal equipment meets the technical specifications for telecommunications terminal equipment. </w:t>
            </w:r>
          </w:p>
          <w:p w14:paraId="020D7AA5" w14:textId="7A3DA536" w:rsidR="00C50393" w:rsidRPr="000A1A6C" w:rsidRDefault="00C50393" w:rsidP="00C50393">
            <w:pPr>
              <w:snapToGrid w:val="0"/>
              <w:spacing w:line="180" w:lineRule="exact"/>
              <w:jc w:val="both"/>
              <w:rPr>
                <w:rFonts w:eastAsia="標楷體"/>
                <w:sz w:val="16"/>
                <w:szCs w:val="16"/>
              </w:rPr>
            </w:pPr>
            <w:r w:rsidRPr="004C217F">
              <w:rPr>
                <w:rFonts w:ascii="標楷體" w:eastAsia="標楷體" w:hAnsi="標楷體"/>
                <w:sz w:val="16"/>
                <w:szCs w:val="16"/>
              </w:rPr>
              <w:t>□</w:t>
            </w:r>
            <w:r w:rsidRPr="000A1A6C">
              <w:rPr>
                <w:rFonts w:eastAsia="標楷體"/>
                <w:sz w:val="16"/>
                <w:szCs w:val="16"/>
              </w:rPr>
              <w:t xml:space="preserve">Declares that the equipment name, brand, model, specifications and test report in the documents provided match the equipment name in the application form; </w:t>
            </w:r>
          </w:p>
          <w:p w14:paraId="5A26ACFC" w14:textId="29CDC52E" w:rsidR="00C50393" w:rsidRPr="000A1A6C" w:rsidRDefault="00C50393" w:rsidP="00C50393">
            <w:pPr>
              <w:snapToGrid w:val="0"/>
              <w:spacing w:line="180" w:lineRule="exact"/>
              <w:jc w:val="both"/>
              <w:rPr>
                <w:rFonts w:eastAsia="標楷體"/>
                <w:sz w:val="16"/>
                <w:szCs w:val="16"/>
              </w:rPr>
            </w:pPr>
            <w:r w:rsidRPr="004C217F">
              <w:rPr>
                <w:rFonts w:ascii="標楷體" w:eastAsia="標楷體" w:hAnsi="標楷體"/>
                <w:sz w:val="16"/>
                <w:szCs w:val="16"/>
              </w:rPr>
              <w:t>□</w:t>
            </w:r>
            <w:r w:rsidRPr="000A1A6C">
              <w:rPr>
                <w:rFonts w:eastAsia="標楷體"/>
                <w:sz w:val="16"/>
                <w:szCs w:val="16"/>
              </w:rPr>
              <w:t>Declares that the permission to use the test report provided has been granted by the original applicant of the test report.</w:t>
            </w:r>
          </w:p>
        </w:tc>
      </w:tr>
      <w:tr w:rsidR="00C50393" w:rsidRPr="00594EA6" w14:paraId="06A6FF76" w14:textId="77777777" w:rsidTr="004C217F">
        <w:trPr>
          <w:trHeight w:val="380"/>
        </w:trPr>
        <w:tc>
          <w:tcPr>
            <w:tcW w:w="561" w:type="dxa"/>
            <w:vMerge/>
            <w:tcBorders>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14:paraId="29BE2CC9" w14:textId="77777777" w:rsidR="00C50393" w:rsidRPr="00594EA6" w:rsidRDefault="00C50393" w:rsidP="00C50393">
            <w:pPr>
              <w:snapToGrid w:val="0"/>
              <w:spacing w:line="200" w:lineRule="exact"/>
              <w:jc w:val="both"/>
              <w:rPr>
                <w:rFonts w:eastAsia="標楷體"/>
                <w:b/>
                <w:sz w:val="18"/>
                <w:szCs w:val="18"/>
              </w:rPr>
            </w:pPr>
          </w:p>
        </w:tc>
        <w:tc>
          <w:tcPr>
            <w:tcW w:w="9514" w:type="dxa"/>
            <w:gridSpan w:val="5"/>
            <w:tcBorders>
              <w:top w:val="single" w:sz="4" w:space="0" w:color="000000"/>
              <w:left w:val="single" w:sz="2" w:space="0" w:color="000000"/>
              <w:bottom w:val="single" w:sz="18" w:space="0" w:color="000000"/>
              <w:right w:val="single" w:sz="18" w:space="0" w:color="000000"/>
            </w:tcBorders>
            <w:shd w:val="clear" w:color="auto" w:fill="auto"/>
            <w:vAlign w:val="center"/>
          </w:tcPr>
          <w:p w14:paraId="7FC8F71A" w14:textId="77777777" w:rsidR="00C50393" w:rsidRPr="000A1A6C" w:rsidRDefault="00C50393" w:rsidP="00C50393">
            <w:pPr>
              <w:snapToGrid w:val="0"/>
              <w:spacing w:line="180" w:lineRule="exact"/>
              <w:ind w:firstLineChars="200" w:firstLine="320"/>
              <w:jc w:val="both"/>
              <w:rPr>
                <w:rFonts w:eastAsia="標楷體"/>
                <w:b/>
                <w:color w:val="FF0000"/>
                <w:sz w:val="16"/>
                <w:szCs w:val="16"/>
              </w:rPr>
            </w:pPr>
            <w:r>
              <w:rPr>
                <w:rFonts w:eastAsia="標楷體"/>
                <w:b/>
                <w:color w:val="FF0000"/>
                <w:sz w:val="16"/>
                <w:szCs w:val="16"/>
              </w:rPr>
              <w:t>T</w:t>
            </w:r>
            <w:r w:rsidRPr="000A1A6C">
              <w:rPr>
                <w:rFonts w:eastAsia="標楷體"/>
                <w:b/>
                <w:color w:val="FF0000"/>
                <w:sz w:val="16"/>
                <w:szCs w:val="16"/>
              </w:rPr>
              <w:t xml:space="preserve">he undersigned guarantees all of the above. </w:t>
            </w:r>
            <w:r>
              <w:rPr>
                <w:rFonts w:eastAsia="標楷體"/>
                <w:b/>
                <w:color w:val="FF0000"/>
                <w:sz w:val="16"/>
                <w:szCs w:val="16"/>
              </w:rPr>
              <w:t>In the case of any violation of above or</w:t>
            </w:r>
            <w:r w:rsidRPr="000A1A6C">
              <w:rPr>
                <w:rFonts w:eastAsia="標楷體"/>
                <w:b/>
                <w:color w:val="FF0000"/>
                <w:sz w:val="16"/>
                <w:szCs w:val="16"/>
              </w:rPr>
              <w:t xml:space="preserve"> any </w:t>
            </w:r>
            <w:r>
              <w:rPr>
                <w:rFonts w:eastAsia="標楷體"/>
                <w:b/>
                <w:color w:val="FF0000"/>
                <w:sz w:val="16"/>
                <w:szCs w:val="16"/>
              </w:rPr>
              <w:t>provisions</w:t>
            </w:r>
            <w:r w:rsidRPr="000A1A6C">
              <w:rPr>
                <w:rFonts w:eastAsia="標楷體"/>
                <w:b/>
                <w:color w:val="FF0000"/>
                <w:sz w:val="16"/>
                <w:szCs w:val="16"/>
              </w:rPr>
              <w:t xml:space="preserve"> of subparagraph 8</w:t>
            </w:r>
            <w:r>
              <w:rPr>
                <w:rFonts w:eastAsia="標楷體"/>
                <w:b/>
                <w:color w:val="FF0000"/>
                <w:sz w:val="16"/>
                <w:szCs w:val="16"/>
              </w:rPr>
              <w:t>, P</w:t>
            </w:r>
            <w:r w:rsidRPr="000A1A6C">
              <w:rPr>
                <w:rFonts w:eastAsia="標楷體"/>
                <w:b/>
                <w:color w:val="FF0000"/>
                <w:sz w:val="16"/>
                <w:szCs w:val="16"/>
              </w:rPr>
              <w:t>aragraph 3</w:t>
            </w:r>
            <w:r>
              <w:rPr>
                <w:rFonts w:eastAsia="標楷體"/>
                <w:b/>
                <w:color w:val="FF0000"/>
                <w:sz w:val="16"/>
                <w:szCs w:val="16"/>
              </w:rPr>
              <w:t>,</w:t>
            </w:r>
            <w:r w:rsidRPr="000A1A6C">
              <w:rPr>
                <w:rFonts w:eastAsia="標楷體"/>
                <w:b/>
                <w:color w:val="FF0000"/>
                <w:sz w:val="16"/>
                <w:szCs w:val="16"/>
              </w:rPr>
              <w:t xml:space="preserve"> Article 19 of Regulations Governing Compliance Approval for Telecommunications Terminal Equipment, </w:t>
            </w:r>
            <w:r>
              <w:rPr>
                <w:rFonts w:eastAsia="標楷體"/>
                <w:b/>
                <w:color w:val="FF0000"/>
                <w:sz w:val="16"/>
                <w:szCs w:val="16"/>
              </w:rPr>
              <w:t>without</w:t>
            </w:r>
            <w:r w:rsidRPr="000A1A6C">
              <w:rPr>
                <w:rFonts w:eastAsia="標楷體"/>
                <w:b/>
                <w:color w:val="FF0000"/>
                <w:sz w:val="16"/>
                <w:szCs w:val="16"/>
              </w:rPr>
              <w:t xml:space="preserve"> corrective action </w:t>
            </w:r>
            <w:r>
              <w:rPr>
                <w:rFonts w:eastAsia="標楷體"/>
                <w:b/>
                <w:color w:val="FF0000"/>
                <w:sz w:val="16"/>
                <w:szCs w:val="16"/>
              </w:rPr>
              <w:t xml:space="preserve">being </w:t>
            </w:r>
            <w:r w:rsidRPr="000A1A6C">
              <w:rPr>
                <w:rFonts w:eastAsia="標楷體"/>
                <w:b/>
                <w:color w:val="FF0000"/>
                <w:sz w:val="16"/>
                <w:szCs w:val="16"/>
              </w:rPr>
              <w:t xml:space="preserve">undertaken within a prescribed period, the undersigned agrees to be subject the competent authority or original certification body to the withdrawal or cancellation of the certificate mentioned above and any consequential liability in the related event, with no objection. </w:t>
            </w:r>
          </w:p>
          <w:p w14:paraId="5BBCA9B6" w14:textId="77777777" w:rsidR="00C50393" w:rsidRPr="000A1A6C" w:rsidRDefault="00C50393" w:rsidP="00C50393">
            <w:pPr>
              <w:widowControl/>
              <w:snapToGrid w:val="0"/>
              <w:spacing w:line="180" w:lineRule="exact"/>
              <w:rPr>
                <w:b/>
                <w:kern w:val="0"/>
                <w:sz w:val="16"/>
                <w:szCs w:val="16"/>
              </w:rPr>
            </w:pPr>
            <w:r w:rsidRPr="000A1A6C">
              <w:rPr>
                <w:rFonts w:eastAsia="標楷體"/>
                <w:b/>
                <w:kern w:val="0"/>
                <w:sz w:val="16"/>
                <w:szCs w:val="16"/>
              </w:rPr>
              <w:t>The undersigned</w:t>
            </w:r>
          </w:p>
          <w:p w14:paraId="6FC7A253" w14:textId="54ECB6F2" w:rsidR="00C50393" w:rsidRPr="000A1A6C" w:rsidRDefault="00C50393" w:rsidP="00C50393">
            <w:pPr>
              <w:pStyle w:val="Web"/>
              <w:snapToGrid w:val="0"/>
              <w:spacing w:before="0" w:beforeAutospacing="0" w:after="0" w:line="180" w:lineRule="exact"/>
              <w:ind w:leftChars="100" w:left="240"/>
              <w:rPr>
                <w:rFonts w:ascii="Times New Roman" w:eastAsia="標楷體" w:hAnsi="Times New Roman" w:cs="Times New Roman"/>
                <w:sz w:val="16"/>
                <w:szCs w:val="16"/>
              </w:rPr>
            </w:pPr>
            <w:r w:rsidRPr="003F7D7E">
              <w:rPr>
                <w:rFonts w:ascii="Times New Roman" w:eastAsia="標楷體" w:hAnsi="Times New Roman" w:cs="Times New Roman"/>
                <w:sz w:val="16"/>
                <w:szCs w:val="16"/>
              </w:rPr>
              <w:t>Company (Business) Name (</w:t>
            </w:r>
            <w:r w:rsidRPr="003F7D7E">
              <w:rPr>
                <w:rFonts w:ascii="Times New Roman" w:eastAsia="標楷體" w:hAnsi="Times New Roman" w:cs="Times New Roman"/>
                <w:color w:val="FF0000"/>
                <w:sz w:val="16"/>
                <w:szCs w:val="16"/>
              </w:rPr>
              <w:t>Certificate Holder</w:t>
            </w:r>
            <w:r w:rsidRPr="003F7D7E">
              <w:rPr>
                <w:rFonts w:ascii="Times New Roman" w:eastAsia="標楷體" w:hAnsi="Times New Roman" w:cs="Times New Roman"/>
                <w:sz w:val="16"/>
                <w:szCs w:val="16"/>
              </w:rPr>
              <w:t>):</w:t>
            </w:r>
          </w:p>
          <w:p w14:paraId="58AB49FB" w14:textId="77777777" w:rsidR="00C50393" w:rsidRPr="000A1A6C" w:rsidRDefault="00C50393" w:rsidP="00C50393">
            <w:pPr>
              <w:pStyle w:val="Web"/>
              <w:snapToGrid w:val="0"/>
              <w:spacing w:before="0" w:beforeAutospacing="0" w:after="0" w:line="180" w:lineRule="exact"/>
              <w:ind w:leftChars="100" w:left="240"/>
              <w:rPr>
                <w:rFonts w:ascii="Times New Roman" w:eastAsia="標楷體" w:hAnsi="Times New Roman" w:cs="Times New Roman"/>
                <w:sz w:val="16"/>
                <w:szCs w:val="16"/>
              </w:rPr>
            </w:pPr>
            <w:r w:rsidRPr="000A1A6C">
              <w:rPr>
                <w:rFonts w:ascii="Times New Roman" w:eastAsia="標楷體" w:hAnsi="Times New Roman" w:cs="Times New Roman"/>
                <w:sz w:val="16"/>
                <w:szCs w:val="16"/>
              </w:rPr>
              <w:t>Signature of person in charge or authorized manager:</w:t>
            </w:r>
          </w:p>
          <w:p w14:paraId="3E41F787" w14:textId="65E97177" w:rsidR="00C50393" w:rsidRPr="000A1A6C" w:rsidRDefault="00C50393" w:rsidP="00C50393">
            <w:pPr>
              <w:pStyle w:val="Web"/>
              <w:snapToGrid w:val="0"/>
              <w:spacing w:before="0" w:beforeAutospacing="0" w:after="0" w:line="180" w:lineRule="exact"/>
              <w:ind w:leftChars="100" w:left="240"/>
              <w:rPr>
                <w:rFonts w:ascii="Times New Roman" w:eastAsia="標楷體" w:hAnsi="Times New Roman" w:cs="Times New Roman"/>
                <w:sz w:val="16"/>
                <w:szCs w:val="16"/>
              </w:rPr>
            </w:pPr>
            <w:r w:rsidRPr="0012326E">
              <w:rPr>
                <w:rFonts w:ascii="Times New Roman" w:eastAsia="標楷體" w:hAnsi="Times New Roman" w:cs="Times New Roman"/>
                <w:color w:val="FF0000"/>
                <w:sz w:val="16"/>
                <w:szCs w:val="16"/>
              </w:rPr>
              <w:t xml:space="preserve">Business license number (or Personal ID </w:t>
            </w:r>
            <w:proofErr w:type="spellStart"/>
            <w:proofErr w:type="gramStart"/>
            <w:r w:rsidRPr="0012326E">
              <w:rPr>
                <w:rFonts w:ascii="Times New Roman" w:eastAsia="標楷體" w:hAnsi="Times New Roman" w:cs="Times New Roman"/>
                <w:color w:val="FF0000"/>
                <w:sz w:val="16"/>
                <w:szCs w:val="16"/>
              </w:rPr>
              <w:t>no,Non</w:t>
            </w:r>
            <w:proofErr w:type="spellEnd"/>
            <w:proofErr w:type="gramEnd"/>
            <w:r w:rsidRPr="0012326E">
              <w:rPr>
                <w:rFonts w:ascii="Times New Roman" w:eastAsia="標楷體" w:hAnsi="Times New Roman" w:cs="Times New Roman"/>
                <w:color w:val="FF0000"/>
                <w:sz w:val="16"/>
                <w:szCs w:val="16"/>
              </w:rPr>
              <w:t>-national-Nationality and Passport no.)</w:t>
            </w:r>
            <w:r w:rsidRPr="000A1A6C">
              <w:rPr>
                <w:rFonts w:ascii="Times New Roman" w:eastAsia="標楷體" w:hAnsi="Times New Roman" w:cs="Times New Roman"/>
                <w:sz w:val="16"/>
                <w:szCs w:val="16"/>
              </w:rPr>
              <w:t>:</w:t>
            </w:r>
          </w:p>
          <w:p w14:paraId="03C1CB9D" w14:textId="77777777" w:rsidR="00C50393" w:rsidRPr="000A1A6C" w:rsidRDefault="00C50393" w:rsidP="00C50393">
            <w:pPr>
              <w:pStyle w:val="Web"/>
              <w:snapToGrid w:val="0"/>
              <w:spacing w:before="0" w:beforeAutospacing="0" w:after="0" w:line="180" w:lineRule="exact"/>
              <w:ind w:leftChars="100" w:left="240"/>
              <w:rPr>
                <w:rFonts w:ascii="Times New Roman" w:eastAsia="標楷體" w:hAnsi="Times New Roman" w:cs="Times New Roman"/>
                <w:b/>
                <w:sz w:val="16"/>
                <w:szCs w:val="16"/>
              </w:rPr>
            </w:pPr>
            <w:r w:rsidRPr="000A1A6C">
              <w:rPr>
                <w:rFonts w:ascii="Times New Roman" w:eastAsia="標楷體" w:hAnsi="Times New Roman" w:cs="Times New Roman"/>
                <w:sz w:val="16"/>
                <w:szCs w:val="16"/>
              </w:rPr>
              <w:t xml:space="preserve">Business (or residence) address: </w:t>
            </w:r>
          </w:p>
          <w:p w14:paraId="3CAD0A25" w14:textId="77777777" w:rsidR="00C50393" w:rsidRPr="000A1A6C" w:rsidRDefault="00C50393" w:rsidP="00C50393">
            <w:pPr>
              <w:snapToGrid w:val="0"/>
              <w:spacing w:line="180" w:lineRule="exact"/>
              <w:jc w:val="right"/>
              <w:rPr>
                <w:rFonts w:eastAsia="標楷體"/>
                <w:sz w:val="16"/>
                <w:szCs w:val="16"/>
              </w:rPr>
            </w:pPr>
            <w:r w:rsidRPr="000A1A6C">
              <w:rPr>
                <w:rFonts w:eastAsia="標楷體"/>
                <w:sz w:val="16"/>
                <w:szCs w:val="16"/>
              </w:rPr>
              <w:t>(Company seal or agency seal is required for juristic persons)</w:t>
            </w:r>
          </w:p>
          <w:p w14:paraId="556B0B8D" w14:textId="77777777" w:rsidR="00C50393" w:rsidRPr="000A1A6C" w:rsidRDefault="00C50393" w:rsidP="00C50393">
            <w:pPr>
              <w:snapToGrid w:val="0"/>
              <w:spacing w:line="180" w:lineRule="exact"/>
              <w:rPr>
                <w:rFonts w:eastAsia="標楷體"/>
                <w:sz w:val="16"/>
                <w:szCs w:val="16"/>
              </w:rPr>
            </w:pPr>
            <w:r w:rsidRPr="000A1A6C">
              <w:rPr>
                <w:rFonts w:eastAsia="標楷體"/>
                <w:kern w:val="0"/>
                <w:sz w:val="16"/>
                <w:szCs w:val="16"/>
              </w:rPr>
              <w:t>Date:</w:t>
            </w:r>
          </w:p>
        </w:tc>
      </w:tr>
    </w:tbl>
    <w:p w14:paraId="23B741B8" w14:textId="7C525D53" w:rsidR="00733681" w:rsidRDefault="00733681" w:rsidP="00733681">
      <w:pPr>
        <w:spacing w:line="240" w:lineRule="exact"/>
        <w:ind w:leftChars="-59" w:left="-142"/>
      </w:pPr>
      <w:r>
        <w:rPr>
          <w:noProof/>
        </w:rPr>
        <mc:AlternateContent>
          <mc:Choice Requires="wps">
            <w:drawing>
              <wp:anchor distT="0" distB="0" distL="114300" distR="114300" simplePos="0" relativeHeight="251659264" behindDoc="0" locked="0" layoutInCell="1" allowOverlap="1" wp14:anchorId="1FA54E3D" wp14:editId="3FD227EC">
                <wp:simplePos x="0" y="0"/>
                <wp:positionH relativeFrom="column">
                  <wp:posOffset>11430</wp:posOffset>
                </wp:positionH>
                <wp:positionV relativeFrom="paragraph">
                  <wp:posOffset>118745</wp:posOffset>
                </wp:positionV>
                <wp:extent cx="6582410" cy="0"/>
                <wp:effectExtent l="0" t="0" r="0" b="0"/>
                <wp:wrapNone/>
                <wp:docPr id="1206630047" name="直線單箭頭接點 1"/>
                <wp:cNvGraphicFramePr/>
                <a:graphic xmlns:a="http://schemas.openxmlformats.org/drawingml/2006/main">
                  <a:graphicData uri="http://schemas.microsoft.com/office/word/2010/wordprocessingShape">
                    <wps:wsp>
                      <wps:cNvCnPr/>
                      <wps:spPr>
                        <a:xfrm>
                          <a:off x="0" y="0"/>
                          <a:ext cx="6581775" cy="0"/>
                        </a:xfrm>
                        <a:prstGeom prst="straightConnector1">
                          <a:avLst/>
                        </a:prstGeom>
                        <a:noFill/>
                        <a:ln w="19046" cap="flat">
                          <a:solidFill>
                            <a:srgbClr val="000000"/>
                          </a:solidFill>
                          <a:custDash>
                            <a:ds d="300063" sp="300063"/>
                          </a:custDash>
                          <a:round/>
                        </a:ln>
                      </wps:spPr>
                      <wps:bodyPr/>
                    </wps:wsp>
                  </a:graphicData>
                </a:graphic>
                <wp14:sizeRelH relativeFrom="page">
                  <wp14:pctWidth>0</wp14:pctWidth>
                </wp14:sizeRelH>
                <wp14:sizeRelV relativeFrom="page">
                  <wp14:pctHeight>0</wp14:pctHeight>
                </wp14:sizeRelV>
              </wp:anchor>
            </w:drawing>
          </mc:Choice>
          <mc:Fallback>
            <w:pict>
              <v:shapetype w14:anchorId="6398F6E5" id="_x0000_t32" coordsize="21600,21600" o:spt="32" o:oned="t" path="m,l21600,21600e" filled="f">
                <v:path arrowok="t" fillok="f" o:connecttype="none"/>
                <o:lock v:ext="edit" shapetype="t"/>
              </v:shapetype>
              <v:shape id="直線單箭頭接點 1" o:spid="_x0000_s1026" type="#_x0000_t32" style="position:absolute;margin-left:.9pt;margin-top:9.35pt;width:51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" strokeweight=".52906mm"/>
            </w:pict>
          </mc:Fallback>
        </mc:AlternateContent>
      </w:r>
    </w:p>
    <w:p w14:paraId="4860F53A" w14:textId="77777777" w:rsidR="00733681" w:rsidRDefault="00733681" w:rsidP="00733681">
      <w:pPr>
        <w:tabs>
          <w:tab w:val="left" w:pos="7740"/>
        </w:tabs>
        <w:spacing w:line="240" w:lineRule="exact"/>
        <w:rPr>
          <w:szCs w:val="24"/>
        </w:rPr>
      </w:pPr>
      <w:r>
        <w:rPr>
          <w:szCs w:val="24"/>
        </w:rPr>
        <w:t>RCB fills in</w:t>
      </w:r>
      <w:r>
        <w:rPr>
          <w:rFonts w:hint="eastAsia"/>
          <w:szCs w:val="24"/>
        </w:rPr>
        <w:t>：</w:t>
      </w:r>
    </w:p>
    <w:tbl>
      <w:tblPr>
        <w:tblW w:w="5163" w:type="pct"/>
        <w:tblInd w:w="-165" w:type="dxa"/>
        <w:tblCellMar>
          <w:left w:w="10" w:type="dxa"/>
          <w:right w:w="10" w:type="dxa"/>
        </w:tblCellMar>
        <w:tblLook w:val="04A0" w:firstRow="1" w:lastRow="0" w:firstColumn="1" w:lastColumn="0" w:noHBand="0" w:noVBand="1"/>
      </w:tblPr>
      <w:tblGrid>
        <w:gridCol w:w="4393"/>
        <w:gridCol w:w="1844"/>
        <w:gridCol w:w="2551"/>
        <w:gridCol w:w="1701"/>
      </w:tblGrid>
      <w:tr w:rsidR="00733681" w14:paraId="7133168E" w14:textId="77777777" w:rsidTr="00733681">
        <w:trPr>
          <w:trHeight w:val="272"/>
        </w:trPr>
        <w:tc>
          <w:tcPr>
            <w:tcW w:w="4394" w:type="dxa"/>
            <w:tcBorders>
              <w:top w:val="single" w:sz="18" w:space="0" w:color="000000"/>
              <w:left w:val="single" w:sz="18" w:space="0" w:color="000000"/>
              <w:bottom w:val="single" w:sz="4" w:space="0" w:color="000000"/>
              <w:right w:val="single" w:sz="4" w:space="0" w:color="000000"/>
            </w:tcBorders>
            <w:vAlign w:val="center"/>
            <w:hideMark/>
          </w:tcPr>
          <w:p w14:paraId="4AAC938D" w14:textId="06271357" w:rsidR="00733681" w:rsidRDefault="00733681">
            <w:pPr>
              <w:tabs>
                <w:tab w:val="left" w:pos="7740"/>
              </w:tabs>
              <w:spacing w:line="240" w:lineRule="exact"/>
              <w:jc w:val="center"/>
              <w:rPr>
                <w:rFonts w:eastAsia="標楷體" w:hint="eastAsia"/>
                <w:szCs w:val="24"/>
              </w:rPr>
            </w:pPr>
            <w:r>
              <w:rPr>
                <w:szCs w:val="24"/>
              </w:rPr>
              <w:t>Recognized Certification Bod</w:t>
            </w:r>
            <w:r w:rsidR="00C50393">
              <w:rPr>
                <w:rFonts w:hint="eastAsia"/>
                <w:szCs w:val="24"/>
              </w:rPr>
              <w:t>y</w:t>
            </w:r>
          </w:p>
        </w:tc>
        <w:tc>
          <w:tcPr>
            <w:tcW w:w="1844" w:type="dxa"/>
            <w:tcBorders>
              <w:top w:val="single" w:sz="18" w:space="0" w:color="000000"/>
              <w:left w:val="single" w:sz="4" w:space="0" w:color="000000"/>
              <w:bottom w:val="single" w:sz="4" w:space="0" w:color="000000"/>
              <w:right w:val="single" w:sz="4" w:space="0" w:color="000000"/>
            </w:tcBorders>
            <w:vAlign w:val="center"/>
            <w:hideMark/>
          </w:tcPr>
          <w:p w14:paraId="22974EBD" w14:textId="4FCABC3F" w:rsidR="00733681" w:rsidRPr="00733681" w:rsidRDefault="00733681" w:rsidP="00733681">
            <w:pPr>
              <w:tabs>
                <w:tab w:val="left" w:pos="7740"/>
              </w:tabs>
              <w:spacing w:line="240" w:lineRule="exact"/>
              <w:jc w:val="center"/>
              <w:rPr>
                <w:rFonts w:eastAsia="標楷體"/>
                <w:szCs w:val="24"/>
              </w:rPr>
            </w:pPr>
            <w:r>
              <w:rPr>
                <w:rFonts w:eastAsia="標楷體"/>
                <w:szCs w:val="24"/>
              </w:rPr>
              <w:t>Project No.</w:t>
            </w:r>
          </w:p>
          <w:p w14:paraId="59A56E20" w14:textId="77777777" w:rsidR="00733681" w:rsidRPr="00733681" w:rsidRDefault="00733681" w:rsidP="00733681">
            <w:pPr>
              <w:rPr>
                <w:rFonts w:eastAsia="標楷體"/>
                <w:szCs w:val="24"/>
              </w:rPr>
            </w:pPr>
          </w:p>
        </w:tc>
        <w:tc>
          <w:tcPr>
            <w:tcW w:w="2551" w:type="dxa"/>
            <w:tcBorders>
              <w:top w:val="single" w:sz="18" w:space="0" w:color="000000"/>
              <w:left w:val="single" w:sz="4" w:space="0" w:color="000000"/>
              <w:bottom w:val="single" w:sz="4" w:space="0" w:color="000000"/>
              <w:right w:val="single" w:sz="4" w:space="0" w:color="000000"/>
            </w:tcBorders>
            <w:vAlign w:val="center"/>
            <w:hideMark/>
          </w:tcPr>
          <w:p w14:paraId="3A7E9CAA" w14:textId="77777777" w:rsidR="00733681" w:rsidRDefault="00733681">
            <w:pPr>
              <w:spacing w:line="240" w:lineRule="exact"/>
              <w:jc w:val="center"/>
              <w:rPr>
                <w:rFonts w:eastAsia="標楷體"/>
                <w:szCs w:val="24"/>
              </w:rPr>
            </w:pPr>
            <w:r>
              <w:rPr>
                <w:rFonts w:eastAsia="標楷體"/>
                <w:szCs w:val="24"/>
              </w:rPr>
              <w:t>Reviewed by</w:t>
            </w:r>
          </w:p>
        </w:tc>
        <w:tc>
          <w:tcPr>
            <w:tcW w:w="1701" w:type="dxa"/>
            <w:tcBorders>
              <w:top w:val="single" w:sz="18" w:space="0" w:color="000000"/>
              <w:left w:val="single" w:sz="4" w:space="0" w:color="000000"/>
              <w:bottom w:val="single" w:sz="4" w:space="0" w:color="000000"/>
              <w:right w:val="single" w:sz="18" w:space="0" w:color="000000"/>
            </w:tcBorders>
            <w:vAlign w:val="center"/>
            <w:hideMark/>
          </w:tcPr>
          <w:p w14:paraId="264CF3D6" w14:textId="77777777" w:rsidR="00733681" w:rsidRDefault="00733681">
            <w:pPr>
              <w:spacing w:line="240" w:lineRule="exact"/>
              <w:jc w:val="center"/>
              <w:rPr>
                <w:rFonts w:eastAsia="標楷體"/>
                <w:szCs w:val="24"/>
              </w:rPr>
            </w:pPr>
            <w:r>
              <w:rPr>
                <w:rFonts w:eastAsia="標楷體"/>
                <w:szCs w:val="24"/>
              </w:rPr>
              <w:t>Date</w:t>
            </w:r>
          </w:p>
        </w:tc>
      </w:tr>
      <w:tr w:rsidR="00C50393" w:rsidRPr="00C50393" w14:paraId="33C775F0" w14:textId="77777777" w:rsidTr="00733681">
        <w:trPr>
          <w:trHeight w:val="624"/>
        </w:trPr>
        <w:tc>
          <w:tcPr>
            <w:tcW w:w="4394" w:type="dxa"/>
            <w:tcBorders>
              <w:top w:val="single" w:sz="4" w:space="0" w:color="000000"/>
              <w:left w:val="single" w:sz="18" w:space="0" w:color="000000"/>
              <w:bottom w:val="single" w:sz="18" w:space="0" w:color="000000"/>
              <w:right w:val="single" w:sz="4" w:space="0" w:color="000000"/>
            </w:tcBorders>
            <w:vAlign w:val="center"/>
            <w:hideMark/>
          </w:tcPr>
          <w:p w14:paraId="4FF5402B" w14:textId="77777777" w:rsidR="00733681" w:rsidRPr="00C50393" w:rsidRDefault="00733681">
            <w:pPr>
              <w:spacing w:line="320" w:lineRule="exact"/>
              <w:jc w:val="center"/>
              <w:rPr>
                <w:color w:val="000000" w:themeColor="text1"/>
                <w:szCs w:val="24"/>
              </w:rPr>
            </w:pPr>
            <w:r w:rsidRPr="00C50393">
              <w:rPr>
                <w:rStyle w:val="af9"/>
                <w:b w:val="0"/>
                <w:bCs w:val="0"/>
                <w:color w:val="000000" w:themeColor="text1"/>
                <w:szCs w:val="24"/>
                <w:shd w:val="clear" w:color="auto" w:fill="FFFFFF"/>
              </w:rPr>
              <w:t>Bay Area Compliance Laboratories Corp.</w:t>
            </w:r>
          </w:p>
        </w:tc>
        <w:tc>
          <w:tcPr>
            <w:tcW w:w="1844" w:type="dxa"/>
            <w:tcBorders>
              <w:top w:val="single" w:sz="4" w:space="0" w:color="000000"/>
              <w:left w:val="single" w:sz="4" w:space="0" w:color="000000"/>
              <w:bottom w:val="single" w:sz="18" w:space="0" w:color="000000"/>
              <w:right w:val="single" w:sz="4" w:space="0" w:color="000000"/>
            </w:tcBorders>
            <w:vAlign w:val="center"/>
          </w:tcPr>
          <w:p w14:paraId="0EAB91C2" w14:textId="77777777" w:rsidR="00733681" w:rsidRPr="00C50393" w:rsidRDefault="00733681">
            <w:pPr>
              <w:spacing w:line="240" w:lineRule="exact"/>
              <w:jc w:val="center"/>
              <w:rPr>
                <w:rFonts w:eastAsia="標楷體"/>
                <w:color w:val="000000" w:themeColor="text1"/>
                <w:szCs w:val="24"/>
              </w:rPr>
            </w:pPr>
          </w:p>
        </w:tc>
        <w:tc>
          <w:tcPr>
            <w:tcW w:w="2551" w:type="dxa"/>
            <w:tcBorders>
              <w:top w:val="single" w:sz="4" w:space="0" w:color="000000"/>
              <w:left w:val="single" w:sz="4" w:space="0" w:color="000000"/>
              <w:bottom w:val="single" w:sz="18" w:space="0" w:color="000000"/>
              <w:right w:val="single" w:sz="4" w:space="0" w:color="000000"/>
            </w:tcBorders>
            <w:vAlign w:val="center"/>
          </w:tcPr>
          <w:p w14:paraId="670374AC" w14:textId="77777777" w:rsidR="00733681" w:rsidRPr="00C50393" w:rsidRDefault="00733681">
            <w:pPr>
              <w:spacing w:line="240" w:lineRule="exact"/>
              <w:jc w:val="center"/>
              <w:rPr>
                <w:rFonts w:eastAsia="標楷體"/>
                <w:color w:val="000000" w:themeColor="text1"/>
                <w:szCs w:val="24"/>
              </w:rPr>
            </w:pPr>
          </w:p>
        </w:tc>
        <w:tc>
          <w:tcPr>
            <w:tcW w:w="1701" w:type="dxa"/>
            <w:tcBorders>
              <w:top w:val="single" w:sz="4" w:space="0" w:color="000000"/>
              <w:left w:val="single" w:sz="4" w:space="0" w:color="000000"/>
              <w:bottom w:val="single" w:sz="18" w:space="0" w:color="000000"/>
              <w:right w:val="single" w:sz="18" w:space="0" w:color="000000"/>
            </w:tcBorders>
            <w:vAlign w:val="center"/>
          </w:tcPr>
          <w:p w14:paraId="0A9FE957" w14:textId="77777777" w:rsidR="00733681" w:rsidRPr="00C50393" w:rsidRDefault="00733681">
            <w:pPr>
              <w:spacing w:line="240" w:lineRule="exact"/>
              <w:jc w:val="center"/>
              <w:rPr>
                <w:rFonts w:eastAsia="標楷體"/>
                <w:color w:val="000000" w:themeColor="text1"/>
                <w:szCs w:val="24"/>
              </w:rPr>
            </w:pPr>
          </w:p>
        </w:tc>
      </w:tr>
    </w:tbl>
    <w:p w14:paraId="1B8E7358" w14:textId="6EE78974" w:rsidR="00EB662C" w:rsidRPr="00733681" w:rsidRDefault="00EB662C" w:rsidP="00C81FC8">
      <w:pPr>
        <w:tabs>
          <w:tab w:val="left" w:pos="3836"/>
        </w:tabs>
        <w:spacing w:line="240" w:lineRule="exact"/>
        <w:contextualSpacing/>
        <w:mirrorIndents/>
        <w:rPr>
          <w:rFonts w:eastAsia="標楷體"/>
          <w:b/>
          <w:bCs/>
          <w:sz w:val="32"/>
          <w:szCs w:val="32"/>
        </w:rPr>
      </w:pPr>
    </w:p>
    <w:sectPr w:rsidR="00EB662C" w:rsidRPr="00733681" w:rsidSect="00733681">
      <w:footerReference w:type="default" r:id="rId8"/>
      <w:pgSz w:w="11906" w:h="16838"/>
      <w:pgMar w:top="720" w:right="851" w:bottom="568" w:left="851" w:header="851" w:footer="3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347E" w14:textId="77777777" w:rsidR="00BD4AD2" w:rsidRDefault="00BD4AD2" w:rsidP="00091150">
      <w:r>
        <w:separator/>
      </w:r>
    </w:p>
  </w:endnote>
  <w:endnote w:type="continuationSeparator" w:id="0">
    <w:p w14:paraId="1BA267AB" w14:textId="77777777" w:rsidR="00BD4AD2" w:rsidRDefault="00BD4AD2" w:rsidP="0009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00"/>
    <w:family w:val="modern"/>
    <w:pitch w:val="fixed"/>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082B" w14:textId="0FAE2646" w:rsidR="008F6A7F" w:rsidRDefault="008F6A7F" w:rsidP="00C81FC8">
    <w:pPr>
      <w:pStyle w:val="a9"/>
      <w:jc w:val="center"/>
    </w:pPr>
    <w:r>
      <w:fldChar w:fldCharType="begin"/>
    </w:r>
    <w:r>
      <w:instrText xml:space="preserve"> PAGE   \* MERGEFORMAT </w:instrText>
    </w:r>
    <w:r>
      <w:fldChar w:fldCharType="separate"/>
    </w:r>
    <w:r w:rsidR="0012326E" w:rsidRPr="0012326E">
      <w:rPr>
        <w:noProof/>
        <w:lang w:val="zh-TW"/>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F315" w14:textId="77777777" w:rsidR="00BD4AD2" w:rsidRDefault="00BD4AD2" w:rsidP="00091150">
      <w:r>
        <w:separator/>
      </w:r>
    </w:p>
  </w:footnote>
  <w:footnote w:type="continuationSeparator" w:id="0">
    <w:p w14:paraId="7B825300" w14:textId="77777777" w:rsidR="00BD4AD2" w:rsidRDefault="00BD4AD2" w:rsidP="00091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5E76"/>
    <w:multiLevelType w:val="hybridMultilevel"/>
    <w:tmpl w:val="0E3A1EE0"/>
    <w:lvl w:ilvl="0" w:tplc="2B2A647A">
      <w:start w:val="7"/>
      <w:numFmt w:val="bullet"/>
      <w:lvlText w:val="□"/>
      <w:lvlJc w:val="left"/>
      <w:pPr>
        <w:ind w:left="473" w:hanging="360"/>
      </w:pPr>
      <w:rPr>
        <w:rFonts w:ascii="標楷體" w:eastAsia="標楷體" w:hAnsi="標楷體" w:cs="Times New Roman" w:hint="eastAsia"/>
        <w:b w:val="0"/>
        <w:color w:val="FF0000"/>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15:restartNumberingAfterBreak="0">
    <w:nsid w:val="094543CE"/>
    <w:multiLevelType w:val="hybridMultilevel"/>
    <w:tmpl w:val="C4C43662"/>
    <w:lvl w:ilvl="0" w:tplc="B0C2857E">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 w15:restartNumberingAfterBreak="0">
    <w:nsid w:val="2A006A7C"/>
    <w:multiLevelType w:val="multilevel"/>
    <w:tmpl w:val="F55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65DA6"/>
    <w:multiLevelType w:val="hybridMultilevel"/>
    <w:tmpl w:val="D40EA2E6"/>
    <w:lvl w:ilvl="0" w:tplc="DCECE88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3C814EBC"/>
    <w:multiLevelType w:val="hybridMultilevel"/>
    <w:tmpl w:val="5ADE65D4"/>
    <w:lvl w:ilvl="0" w:tplc="DB70DE74">
      <w:start w:val="1"/>
      <w:numFmt w:val="decimal"/>
      <w:lvlText w:val="%1."/>
      <w:lvlJc w:val="left"/>
      <w:pPr>
        <w:ind w:left="-265" w:hanging="360"/>
      </w:pPr>
      <w:rPr>
        <w:rFonts w:hint="default"/>
        <w:color w:val="auto"/>
        <w:sz w:val="24"/>
        <w:szCs w:val="24"/>
      </w:rPr>
    </w:lvl>
    <w:lvl w:ilvl="1" w:tplc="04090019" w:tentative="1">
      <w:start w:val="1"/>
      <w:numFmt w:val="ideographTraditional"/>
      <w:lvlText w:val="%2、"/>
      <w:lvlJc w:val="left"/>
      <w:pPr>
        <w:ind w:left="335" w:hanging="480"/>
      </w:pPr>
    </w:lvl>
    <w:lvl w:ilvl="2" w:tplc="0409001B" w:tentative="1">
      <w:start w:val="1"/>
      <w:numFmt w:val="lowerRoman"/>
      <w:lvlText w:val="%3."/>
      <w:lvlJc w:val="right"/>
      <w:pPr>
        <w:ind w:left="815" w:hanging="480"/>
      </w:pPr>
    </w:lvl>
    <w:lvl w:ilvl="3" w:tplc="0409000F" w:tentative="1">
      <w:start w:val="1"/>
      <w:numFmt w:val="decimal"/>
      <w:lvlText w:val="%4."/>
      <w:lvlJc w:val="left"/>
      <w:pPr>
        <w:ind w:left="1295" w:hanging="480"/>
      </w:pPr>
    </w:lvl>
    <w:lvl w:ilvl="4" w:tplc="04090019" w:tentative="1">
      <w:start w:val="1"/>
      <w:numFmt w:val="ideographTraditional"/>
      <w:lvlText w:val="%5、"/>
      <w:lvlJc w:val="left"/>
      <w:pPr>
        <w:ind w:left="1775" w:hanging="480"/>
      </w:pPr>
    </w:lvl>
    <w:lvl w:ilvl="5" w:tplc="0409001B" w:tentative="1">
      <w:start w:val="1"/>
      <w:numFmt w:val="lowerRoman"/>
      <w:lvlText w:val="%6."/>
      <w:lvlJc w:val="right"/>
      <w:pPr>
        <w:ind w:left="2255" w:hanging="480"/>
      </w:pPr>
    </w:lvl>
    <w:lvl w:ilvl="6" w:tplc="0409000F" w:tentative="1">
      <w:start w:val="1"/>
      <w:numFmt w:val="decimal"/>
      <w:lvlText w:val="%7."/>
      <w:lvlJc w:val="left"/>
      <w:pPr>
        <w:ind w:left="2735" w:hanging="480"/>
      </w:pPr>
    </w:lvl>
    <w:lvl w:ilvl="7" w:tplc="04090019" w:tentative="1">
      <w:start w:val="1"/>
      <w:numFmt w:val="ideographTraditional"/>
      <w:lvlText w:val="%8、"/>
      <w:lvlJc w:val="left"/>
      <w:pPr>
        <w:ind w:left="3215" w:hanging="480"/>
      </w:pPr>
    </w:lvl>
    <w:lvl w:ilvl="8" w:tplc="0409001B" w:tentative="1">
      <w:start w:val="1"/>
      <w:numFmt w:val="lowerRoman"/>
      <w:lvlText w:val="%9."/>
      <w:lvlJc w:val="right"/>
      <w:pPr>
        <w:ind w:left="3695" w:hanging="480"/>
      </w:pPr>
    </w:lvl>
  </w:abstractNum>
  <w:abstractNum w:abstractNumId="5" w15:restartNumberingAfterBreak="0">
    <w:nsid w:val="3EAD428B"/>
    <w:multiLevelType w:val="hybridMultilevel"/>
    <w:tmpl w:val="BD064744"/>
    <w:lvl w:ilvl="0" w:tplc="5F301918">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6" w15:restartNumberingAfterBreak="0">
    <w:nsid w:val="6E272265"/>
    <w:multiLevelType w:val="hybridMultilevel"/>
    <w:tmpl w:val="A18C00EA"/>
    <w:lvl w:ilvl="0" w:tplc="92B0166C">
      <w:start w:val="7"/>
      <w:numFmt w:val="bullet"/>
      <w:lvlText w:val="□"/>
      <w:lvlJc w:val="left"/>
      <w:pPr>
        <w:ind w:left="473" w:hanging="360"/>
      </w:pPr>
      <w:rPr>
        <w:rFonts w:ascii="標楷體" w:eastAsia="標楷體" w:hAnsi="標楷體" w:cs="Times New Roman" w:hint="eastAsia"/>
        <w:b w:val="0"/>
        <w:color w:val="FF0000"/>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16cid:durableId="544488459">
    <w:abstractNumId w:val="2"/>
  </w:num>
  <w:num w:numId="2" w16cid:durableId="848253003">
    <w:abstractNumId w:val="1"/>
  </w:num>
  <w:num w:numId="3" w16cid:durableId="1841852431">
    <w:abstractNumId w:val="0"/>
  </w:num>
  <w:num w:numId="4" w16cid:durableId="1426222029">
    <w:abstractNumId w:val="6"/>
  </w:num>
  <w:num w:numId="5" w16cid:durableId="809250649">
    <w:abstractNumId w:val="3"/>
  </w:num>
  <w:num w:numId="6" w16cid:durableId="1000042679">
    <w:abstractNumId w:val="5"/>
  </w:num>
  <w:num w:numId="7" w16cid:durableId="1657341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B"/>
    <w:rsid w:val="00005EDD"/>
    <w:rsid w:val="0000624B"/>
    <w:rsid w:val="000075DF"/>
    <w:rsid w:val="0001350E"/>
    <w:rsid w:val="00013A16"/>
    <w:rsid w:val="00015015"/>
    <w:rsid w:val="00021319"/>
    <w:rsid w:val="00022262"/>
    <w:rsid w:val="00024C50"/>
    <w:rsid w:val="00026C2B"/>
    <w:rsid w:val="000309E3"/>
    <w:rsid w:val="00032B6E"/>
    <w:rsid w:val="00035841"/>
    <w:rsid w:val="00040789"/>
    <w:rsid w:val="00042E8F"/>
    <w:rsid w:val="00045E76"/>
    <w:rsid w:val="0005007C"/>
    <w:rsid w:val="00054D6B"/>
    <w:rsid w:val="00057ED1"/>
    <w:rsid w:val="00060DD6"/>
    <w:rsid w:val="00067E55"/>
    <w:rsid w:val="00071295"/>
    <w:rsid w:val="00072EEA"/>
    <w:rsid w:val="000772AC"/>
    <w:rsid w:val="00081A7D"/>
    <w:rsid w:val="00090E15"/>
    <w:rsid w:val="00091150"/>
    <w:rsid w:val="000916CF"/>
    <w:rsid w:val="00092DC2"/>
    <w:rsid w:val="00093176"/>
    <w:rsid w:val="000B4DDF"/>
    <w:rsid w:val="000B539A"/>
    <w:rsid w:val="000B666C"/>
    <w:rsid w:val="000B6BB6"/>
    <w:rsid w:val="000B7C0D"/>
    <w:rsid w:val="000C4B8E"/>
    <w:rsid w:val="000D077C"/>
    <w:rsid w:val="000D11F3"/>
    <w:rsid w:val="000D1447"/>
    <w:rsid w:val="000D2B87"/>
    <w:rsid w:val="000D7D68"/>
    <w:rsid w:val="000E1232"/>
    <w:rsid w:val="000E18FE"/>
    <w:rsid w:val="000E3244"/>
    <w:rsid w:val="000E4768"/>
    <w:rsid w:val="000E555D"/>
    <w:rsid w:val="000F2CA9"/>
    <w:rsid w:val="000F330B"/>
    <w:rsid w:val="0010191E"/>
    <w:rsid w:val="001058FB"/>
    <w:rsid w:val="00107D67"/>
    <w:rsid w:val="00107EDE"/>
    <w:rsid w:val="0011346A"/>
    <w:rsid w:val="001148ED"/>
    <w:rsid w:val="0012326E"/>
    <w:rsid w:val="001274E9"/>
    <w:rsid w:val="0012754C"/>
    <w:rsid w:val="00137733"/>
    <w:rsid w:val="00140FD3"/>
    <w:rsid w:val="001413D8"/>
    <w:rsid w:val="00142A3E"/>
    <w:rsid w:val="001509D5"/>
    <w:rsid w:val="00154D0C"/>
    <w:rsid w:val="0015742C"/>
    <w:rsid w:val="00166C00"/>
    <w:rsid w:val="001672F0"/>
    <w:rsid w:val="00167D3C"/>
    <w:rsid w:val="00172DF1"/>
    <w:rsid w:val="001764C1"/>
    <w:rsid w:val="00181D19"/>
    <w:rsid w:val="001874D7"/>
    <w:rsid w:val="001A633E"/>
    <w:rsid w:val="001A7490"/>
    <w:rsid w:val="001B5424"/>
    <w:rsid w:val="001C5FF5"/>
    <w:rsid w:val="001E0386"/>
    <w:rsid w:val="001E30A0"/>
    <w:rsid w:val="001E3641"/>
    <w:rsid w:val="001F37CA"/>
    <w:rsid w:val="00204353"/>
    <w:rsid w:val="0021116D"/>
    <w:rsid w:val="00215A48"/>
    <w:rsid w:val="00222CCC"/>
    <w:rsid w:val="0023187D"/>
    <w:rsid w:val="002358B7"/>
    <w:rsid w:val="00236304"/>
    <w:rsid w:val="002414F3"/>
    <w:rsid w:val="0024316B"/>
    <w:rsid w:val="00246145"/>
    <w:rsid w:val="00255522"/>
    <w:rsid w:val="00264DFA"/>
    <w:rsid w:val="00283C35"/>
    <w:rsid w:val="00290D9D"/>
    <w:rsid w:val="00291339"/>
    <w:rsid w:val="002B0239"/>
    <w:rsid w:val="002B417C"/>
    <w:rsid w:val="002C3C82"/>
    <w:rsid w:val="002D1536"/>
    <w:rsid w:val="002D246C"/>
    <w:rsid w:val="002D4924"/>
    <w:rsid w:val="002D60DE"/>
    <w:rsid w:val="002E1BAC"/>
    <w:rsid w:val="002E5091"/>
    <w:rsid w:val="002E5519"/>
    <w:rsid w:val="002E713E"/>
    <w:rsid w:val="002F1378"/>
    <w:rsid w:val="002F701B"/>
    <w:rsid w:val="0030152E"/>
    <w:rsid w:val="00310C39"/>
    <w:rsid w:val="00315A11"/>
    <w:rsid w:val="003165E2"/>
    <w:rsid w:val="003172AE"/>
    <w:rsid w:val="00317AED"/>
    <w:rsid w:val="00320C7A"/>
    <w:rsid w:val="003227CE"/>
    <w:rsid w:val="00327D3D"/>
    <w:rsid w:val="00330753"/>
    <w:rsid w:val="00333CA2"/>
    <w:rsid w:val="00334458"/>
    <w:rsid w:val="003476D9"/>
    <w:rsid w:val="0035018F"/>
    <w:rsid w:val="00353B7F"/>
    <w:rsid w:val="00361B1D"/>
    <w:rsid w:val="003626BB"/>
    <w:rsid w:val="00373C27"/>
    <w:rsid w:val="00393013"/>
    <w:rsid w:val="00397B68"/>
    <w:rsid w:val="003A2067"/>
    <w:rsid w:val="003A30DC"/>
    <w:rsid w:val="003A6089"/>
    <w:rsid w:val="003A7EA1"/>
    <w:rsid w:val="003B4434"/>
    <w:rsid w:val="003B60F7"/>
    <w:rsid w:val="003B7973"/>
    <w:rsid w:val="003B7A25"/>
    <w:rsid w:val="003B7FAB"/>
    <w:rsid w:val="003C0403"/>
    <w:rsid w:val="003C198A"/>
    <w:rsid w:val="003C48BE"/>
    <w:rsid w:val="003C49A0"/>
    <w:rsid w:val="003C6428"/>
    <w:rsid w:val="003D5385"/>
    <w:rsid w:val="003F5122"/>
    <w:rsid w:val="003F64D5"/>
    <w:rsid w:val="003F7D7E"/>
    <w:rsid w:val="00404F55"/>
    <w:rsid w:val="00417048"/>
    <w:rsid w:val="004231F1"/>
    <w:rsid w:val="00424C65"/>
    <w:rsid w:val="00425376"/>
    <w:rsid w:val="00433339"/>
    <w:rsid w:val="00433AF0"/>
    <w:rsid w:val="004357E6"/>
    <w:rsid w:val="00452048"/>
    <w:rsid w:val="004712FB"/>
    <w:rsid w:val="00474B1B"/>
    <w:rsid w:val="004754AE"/>
    <w:rsid w:val="00477072"/>
    <w:rsid w:val="004827F2"/>
    <w:rsid w:val="0048296F"/>
    <w:rsid w:val="004A0D2E"/>
    <w:rsid w:val="004B2C26"/>
    <w:rsid w:val="004B4886"/>
    <w:rsid w:val="004B509C"/>
    <w:rsid w:val="004C0CB4"/>
    <w:rsid w:val="004C217F"/>
    <w:rsid w:val="004C2601"/>
    <w:rsid w:val="004C27D3"/>
    <w:rsid w:val="004C3258"/>
    <w:rsid w:val="004C59CB"/>
    <w:rsid w:val="004C739B"/>
    <w:rsid w:val="004D049E"/>
    <w:rsid w:val="004D1DF8"/>
    <w:rsid w:val="004D4801"/>
    <w:rsid w:val="004E2194"/>
    <w:rsid w:val="004E2D3D"/>
    <w:rsid w:val="004F09F6"/>
    <w:rsid w:val="004F4599"/>
    <w:rsid w:val="004F4701"/>
    <w:rsid w:val="004F7F66"/>
    <w:rsid w:val="00503351"/>
    <w:rsid w:val="00504FE0"/>
    <w:rsid w:val="00507121"/>
    <w:rsid w:val="0051089B"/>
    <w:rsid w:val="0051427D"/>
    <w:rsid w:val="00516C4E"/>
    <w:rsid w:val="005242DC"/>
    <w:rsid w:val="00525948"/>
    <w:rsid w:val="005271F8"/>
    <w:rsid w:val="005278BD"/>
    <w:rsid w:val="00533E5D"/>
    <w:rsid w:val="00535EF6"/>
    <w:rsid w:val="00545529"/>
    <w:rsid w:val="00547A32"/>
    <w:rsid w:val="00552B0E"/>
    <w:rsid w:val="00557CE7"/>
    <w:rsid w:val="005737DA"/>
    <w:rsid w:val="005777CC"/>
    <w:rsid w:val="00580986"/>
    <w:rsid w:val="00582A0E"/>
    <w:rsid w:val="005870E0"/>
    <w:rsid w:val="005915C5"/>
    <w:rsid w:val="00594EA6"/>
    <w:rsid w:val="0059530E"/>
    <w:rsid w:val="005A4E14"/>
    <w:rsid w:val="005A5A78"/>
    <w:rsid w:val="005A6854"/>
    <w:rsid w:val="005B6099"/>
    <w:rsid w:val="005B6D09"/>
    <w:rsid w:val="005B74C1"/>
    <w:rsid w:val="005C24C1"/>
    <w:rsid w:val="005D3304"/>
    <w:rsid w:val="005D3BCB"/>
    <w:rsid w:val="005D74D0"/>
    <w:rsid w:val="005D7592"/>
    <w:rsid w:val="005D7C69"/>
    <w:rsid w:val="005E5062"/>
    <w:rsid w:val="005E6397"/>
    <w:rsid w:val="005E6F05"/>
    <w:rsid w:val="005E7288"/>
    <w:rsid w:val="005E7C3C"/>
    <w:rsid w:val="005F5CDF"/>
    <w:rsid w:val="005F671F"/>
    <w:rsid w:val="0060260B"/>
    <w:rsid w:val="00604C40"/>
    <w:rsid w:val="00611DDC"/>
    <w:rsid w:val="00614B98"/>
    <w:rsid w:val="006237EB"/>
    <w:rsid w:val="00624962"/>
    <w:rsid w:val="006270C9"/>
    <w:rsid w:val="00632D77"/>
    <w:rsid w:val="00633357"/>
    <w:rsid w:val="00633447"/>
    <w:rsid w:val="0063542D"/>
    <w:rsid w:val="00637C3D"/>
    <w:rsid w:val="00641D53"/>
    <w:rsid w:val="0064337C"/>
    <w:rsid w:val="006433ED"/>
    <w:rsid w:val="00643F75"/>
    <w:rsid w:val="00646490"/>
    <w:rsid w:val="00647CA8"/>
    <w:rsid w:val="006545FB"/>
    <w:rsid w:val="0065596A"/>
    <w:rsid w:val="00662CDB"/>
    <w:rsid w:val="0066528B"/>
    <w:rsid w:val="00667D7F"/>
    <w:rsid w:val="00670744"/>
    <w:rsid w:val="00670B85"/>
    <w:rsid w:val="00672CE7"/>
    <w:rsid w:val="00673172"/>
    <w:rsid w:val="006800B0"/>
    <w:rsid w:val="00690163"/>
    <w:rsid w:val="00695E13"/>
    <w:rsid w:val="006A5CC0"/>
    <w:rsid w:val="006B0B25"/>
    <w:rsid w:val="006B3618"/>
    <w:rsid w:val="006B3FA8"/>
    <w:rsid w:val="006C0669"/>
    <w:rsid w:val="006C3BF7"/>
    <w:rsid w:val="006D40D0"/>
    <w:rsid w:val="006D55A5"/>
    <w:rsid w:val="006E1DFD"/>
    <w:rsid w:val="006E205D"/>
    <w:rsid w:val="006E4096"/>
    <w:rsid w:val="006F2589"/>
    <w:rsid w:val="006F4688"/>
    <w:rsid w:val="006F60F6"/>
    <w:rsid w:val="006F769E"/>
    <w:rsid w:val="007039C7"/>
    <w:rsid w:val="007042ED"/>
    <w:rsid w:val="0070646D"/>
    <w:rsid w:val="0070793B"/>
    <w:rsid w:val="00707A75"/>
    <w:rsid w:val="00713D6E"/>
    <w:rsid w:val="00720425"/>
    <w:rsid w:val="00725D58"/>
    <w:rsid w:val="00725DE6"/>
    <w:rsid w:val="007319B8"/>
    <w:rsid w:val="007331BE"/>
    <w:rsid w:val="00733681"/>
    <w:rsid w:val="0073613B"/>
    <w:rsid w:val="007366C7"/>
    <w:rsid w:val="007429CC"/>
    <w:rsid w:val="00745A86"/>
    <w:rsid w:val="00747E97"/>
    <w:rsid w:val="00751009"/>
    <w:rsid w:val="00760C96"/>
    <w:rsid w:val="0076199D"/>
    <w:rsid w:val="00764EED"/>
    <w:rsid w:val="00770AC6"/>
    <w:rsid w:val="00775B30"/>
    <w:rsid w:val="00783E2F"/>
    <w:rsid w:val="00790191"/>
    <w:rsid w:val="00793A41"/>
    <w:rsid w:val="00793EBB"/>
    <w:rsid w:val="007965F4"/>
    <w:rsid w:val="00797299"/>
    <w:rsid w:val="007974EF"/>
    <w:rsid w:val="007A0AA2"/>
    <w:rsid w:val="007A2B2C"/>
    <w:rsid w:val="007B03CC"/>
    <w:rsid w:val="007B04EB"/>
    <w:rsid w:val="007B0F26"/>
    <w:rsid w:val="007B7159"/>
    <w:rsid w:val="007C042D"/>
    <w:rsid w:val="007C0E8A"/>
    <w:rsid w:val="007C2D81"/>
    <w:rsid w:val="007C7615"/>
    <w:rsid w:val="007D04AD"/>
    <w:rsid w:val="007E1D65"/>
    <w:rsid w:val="007E4A6C"/>
    <w:rsid w:val="007E6AF3"/>
    <w:rsid w:val="007F15E3"/>
    <w:rsid w:val="007F6963"/>
    <w:rsid w:val="008027A7"/>
    <w:rsid w:val="008058E7"/>
    <w:rsid w:val="00806172"/>
    <w:rsid w:val="00807167"/>
    <w:rsid w:val="0080761D"/>
    <w:rsid w:val="00811AF9"/>
    <w:rsid w:val="008158D3"/>
    <w:rsid w:val="00823ACE"/>
    <w:rsid w:val="00830D79"/>
    <w:rsid w:val="008343D5"/>
    <w:rsid w:val="00842683"/>
    <w:rsid w:val="00846252"/>
    <w:rsid w:val="00846F2B"/>
    <w:rsid w:val="00854C71"/>
    <w:rsid w:val="00854EEE"/>
    <w:rsid w:val="00854FEF"/>
    <w:rsid w:val="00856C32"/>
    <w:rsid w:val="00861619"/>
    <w:rsid w:val="00863CF4"/>
    <w:rsid w:val="00865396"/>
    <w:rsid w:val="008725BA"/>
    <w:rsid w:val="008832F5"/>
    <w:rsid w:val="008858F2"/>
    <w:rsid w:val="00885BD3"/>
    <w:rsid w:val="008928E8"/>
    <w:rsid w:val="008A3978"/>
    <w:rsid w:val="008B0382"/>
    <w:rsid w:val="008B0D4C"/>
    <w:rsid w:val="008B3A33"/>
    <w:rsid w:val="008B711D"/>
    <w:rsid w:val="008C0FDC"/>
    <w:rsid w:val="008C1E3A"/>
    <w:rsid w:val="008C635B"/>
    <w:rsid w:val="008C7613"/>
    <w:rsid w:val="008E07D0"/>
    <w:rsid w:val="008E1922"/>
    <w:rsid w:val="008F0810"/>
    <w:rsid w:val="008F1E29"/>
    <w:rsid w:val="008F5496"/>
    <w:rsid w:val="008F6A7F"/>
    <w:rsid w:val="009049DE"/>
    <w:rsid w:val="00905E3A"/>
    <w:rsid w:val="009071A3"/>
    <w:rsid w:val="0090782E"/>
    <w:rsid w:val="00912332"/>
    <w:rsid w:val="00916E93"/>
    <w:rsid w:val="00926668"/>
    <w:rsid w:val="00927A3E"/>
    <w:rsid w:val="0093480D"/>
    <w:rsid w:val="009534E6"/>
    <w:rsid w:val="0095382B"/>
    <w:rsid w:val="00957BBD"/>
    <w:rsid w:val="009604C8"/>
    <w:rsid w:val="009776B6"/>
    <w:rsid w:val="00980921"/>
    <w:rsid w:val="00991D0E"/>
    <w:rsid w:val="00992622"/>
    <w:rsid w:val="00994A5D"/>
    <w:rsid w:val="00994E2A"/>
    <w:rsid w:val="00996E1C"/>
    <w:rsid w:val="009975DA"/>
    <w:rsid w:val="009A6AC3"/>
    <w:rsid w:val="009A7B0B"/>
    <w:rsid w:val="009B0AC8"/>
    <w:rsid w:val="009B3456"/>
    <w:rsid w:val="009B4BD5"/>
    <w:rsid w:val="009C2EE3"/>
    <w:rsid w:val="009D4F4F"/>
    <w:rsid w:val="009D62D6"/>
    <w:rsid w:val="009E2E3D"/>
    <w:rsid w:val="009E2FF3"/>
    <w:rsid w:val="009E5CAC"/>
    <w:rsid w:val="009E6D88"/>
    <w:rsid w:val="00A014F2"/>
    <w:rsid w:val="00A03470"/>
    <w:rsid w:val="00A10D92"/>
    <w:rsid w:val="00A1521E"/>
    <w:rsid w:val="00A2153D"/>
    <w:rsid w:val="00A31ACC"/>
    <w:rsid w:val="00A346A2"/>
    <w:rsid w:val="00A440A6"/>
    <w:rsid w:val="00A54D06"/>
    <w:rsid w:val="00A65F3F"/>
    <w:rsid w:val="00A721EF"/>
    <w:rsid w:val="00A7386D"/>
    <w:rsid w:val="00A92680"/>
    <w:rsid w:val="00A92813"/>
    <w:rsid w:val="00A94D52"/>
    <w:rsid w:val="00A97AD6"/>
    <w:rsid w:val="00AA22C6"/>
    <w:rsid w:val="00AA3B85"/>
    <w:rsid w:val="00AB29EE"/>
    <w:rsid w:val="00AB2C19"/>
    <w:rsid w:val="00AB3721"/>
    <w:rsid w:val="00AC2451"/>
    <w:rsid w:val="00AC71AA"/>
    <w:rsid w:val="00AD01B9"/>
    <w:rsid w:val="00AD539A"/>
    <w:rsid w:val="00AE25D5"/>
    <w:rsid w:val="00AF4A33"/>
    <w:rsid w:val="00AF6D37"/>
    <w:rsid w:val="00B0370F"/>
    <w:rsid w:val="00B04BED"/>
    <w:rsid w:val="00B062B9"/>
    <w:rsid w:val="00B071DC"/>
    <w:rsid w:val="00B10837"/>
    <w:rsid w:val="00B179FC"/>
    <w:rsid w:val="00B25ED6"/>
    <w:rsid w:val="00B26485"/>
    <w:rsid w:val="00B302A1"/>
    <w:rsid w:val="00B31318"/>
    <w:rsid w:val="00B32C73"/>
    <w:rsid w:val="00B3334A"/>
    <w:rsid w:val="00B3516F"/>
    <w:rsid w:val="00B44814"/>
    <w:rsid w:val="00B44843"/>
    <w:rsid w:val="00B464CC"/>
    <w:rsid w:val="00B46812"/>
    <w:rsid w:val="00B50747"/>
    <w:rsid w:val="00B56256"/>
    <w:rsid w:val="00B60CF3"/>
    <w:rsid w:val="00B70B86"/>
    <w:rsid w:val="00B710B0"/>
    <w:rsid w:val="00B72397"/>
    <w:rsid w:val="00B75820"/>
    <w:rsid w:val="00B80FA0"/>
    <w:rsid w:val="00B838BB"/>
    <w:rsid w:val="00B91A03"/>
    <w:rsid w:val="00BA0D5A"/>
    <w:rsid w:val="00BA58B2"/>
    <w:rsid w:val="00BB052C"/>
    <w:rsid w:val="00BB1BE7"/>
    <w:rsid w:val="00BB34FD"/>
    <w:rsid w:val="00BB3EBB"/>
    <w:rsid w:val="00BC20CA"/>
    <w:rsid w:val="00BC2E41"/>
    <w:rsid w:val="00BC39F6"/>
    <w:rsid w:val="00BD1DBC"/>
    <w:rsid w:val="00BD3189"/>
    <w:rsid w:val="00BD4AD2"/>
    <w:rsid w:val="00BE0116"/>
    <w:rsid w:val="00BE1F6E"/>
    <w:rsid w:val="00BE3A0E"/>
    <w:rsid w:val="00BF3A16"/>
    <w:rsid w:val="00BF3CFB"/>
    <w:rsid w:val="00BF47C1"/>
    <w:rsid w:val="00C00087"/>
    <w:rsid w:val="00C04CC1"/>
    <w:rsid w:val="00C117A6"/>
    <w:rsid w:val="00C1351D"/>
    <w:rsid w:val="00C1506A"/>
    <w:rsid w:val="00C21732"/>
    <w:rsid w:val="00C2516C"/>
    <w:rsid w:val="00C2671E"/>
    <w:rsid w:val="00C33507"/>
    <w:rsid w:val="00C36FD2"/>
    <w:rsid w:val="00C4285F"/>
    <w:rsid w:val="00C4511B"/>
    <w:rsid w:val="00C45FC1"/>
    <w:rsid w:val="00C50393"/>
    <w:rsid w:val="00C56755"/>
    <w:rsid w:val="00C742A9"/>
    <w:rsid w:val="00C81FC8"/>
    <w:rsid w:val="00C903A6"/>
    <w:rsid w:val="00C947CF"/>
    <w:rsid w:val="00CA591A"/>
    <w:rsid w:val="00CB3645"/>
    <w:rsid w:val="00CC143F"/>
    <w:rsid w:val="00CC66D6"/>
    <w:rsid w:val="00CD7E54"/>
    <w:rsid w:val="00CE07B4"/>
    <w:rsid w:val="00CE238C"/>
    <w:rsid w:val="00CF153C"/>
    <w:rsid w:val="00D0251A"/>
    <w:rsid w:val="00D0450D"/>
    <w:rsid w:val="00D15C73"/>
    <w:rsid w:val="00D2111B"/>
    <w:rsid w:val="00D21C99"/>
    <w:rsid w:val="00D242B3"/>
    <w:rsid w:val="00D244B8"/>
    <w:rsid w:val="00D25C6E"/>
    <w:rsid w:val="00D271EC"/>
    <w:rsid w:val="00D326F1"/>
    <w:rsid w:val="00D336FC"/>
    <w:rsid w:val="00D34660"/>
    <w:rsid w:val="00D374E0"/>
    <w:rsid w:val="00D3761B"/>
    <w:rsid w:val="00D426A5"/>
    <w:rsid w:val="00D42DF4"/>
    <w:rsid w:val="00D522C5"/>
    <w:rsid w:val="00D52D8F"/>
    <w:rsid w:val="00D54AE0"/>
    <w:rsid w:val="00D55070"/>
    <w:rsid w:val="00D56E82"/>
    <w:rsid w:val="00D633A5"/>
    <w:rsid w:val="00D63933"/>
    <w:rsid w:val="00D84483"/>
    <w:rsid w:val="00D937E9"/>
    <w:rsid w:val="00DA089C"/>
    <w:rsid w:val="00DA604E"/>
    <w:rsid w:val="00DA621A"/>
    <w:rsid w:val="00DA7239"/>
    <w:rsid w:val="00DA7EC8"/>
    <w:rsid w:val="00DC28D0"/>
    <w:rsid w:val="00DC3256"/>
    <w:rsid w:val="00DD11A6"/>
    <w:rsid w:val="00DE2150"/>
    <w:rsid w:val="00DE5D67"/>
    <w:rsid w:val="00DF4794"/>
    <w:rsid w:val="00E068DE"/>
    <w:rsid w:val="00E1040E"/>
    <w:rsid w:val="00E144C6"/>
    <w:rsid w:val="00E33C8D"/>
    <w:rsid w:val="00E35B5B"/>
    <w:rsid w:val="00E426F2"/>
    <w:rsid w:val="00E45F64"/>
    <w:rsid w:val="00E467B5"/>
    <w:rsid w:val="00E54872"/>
    <w:rsid w:val="00E55C76"/>
    <w:rsid w:val="00E566C2"/>
    <w:rsid w:val="00E609AF"/>
    <w:rsid w:val="00E80B85"/>
    <w:rsid w:val="00E84533"/>
    <w:rsid w:val="00E96495"/>
    <w:rsid w:val="00EA47F5"/>
    <w:rsid w:val="00EB1A65"/>
    <w:rsid w:val="00EB45A9"/>
    <w:rsid w:val="00EB662C"/>
    <w:rsid w:val="00EC09E8"/>
    <w:rsid w:val="00EC4FCA"/>
    <w:rsid w:val="00ED47C0"/>
    <w:rsid w:val="00EE1A47"/>
    <w:rsid w:val="00EE4BEF"/>
    <w:rsid w:val="00EF1CC3"/>
    <w:rsid w:val="00EF4206"/>
    <w:rsid w:val="00F00240"/>
    <w:rsid w:val="00F03710"/>
    <w:rsid w:val="00F03EB1"/>
    <w:rsid w:val="00F141DD"/>
    <w:rsid w:val="00F15D3C"/>
    <w:rsid w:val="00F1605E"/>
    <w:rsid w:val="00F331AD"/>
    <w:rsid w:val="00F37EDF"/>
    <w:rsid w:val="00F41B7C"/>
    <w:rsid w:val="00F4221C"/>
    <w:rsid w:val="00F47E97"/>
    <w:rsid w:val="00F56C20"/>
    <w:rsid w:val="00F647E5"/>
    <w:rsid w:val="00F75184"/>
    <w:rsid w:val="00F804ED"/>
    <w:rsid w:val="00F846D7"/>
    <w:rsid w:val="00F84C8D"/>
    <w:rsid w:val="00F85A65"/>
    <w:rsid w:val="00F867BD"/>
    <w:rsid w:val="00F93D1B"/>
    <w:rsid w:val="00F96244"/>
    <w:rsid w:val="00FB10C5"/>
    <w:rsid w:val="00FB482E"/>
    <w:rsid w:val="00FC50B7"/>
    <w:rsid w:val="00FC755C"/>
    <w:rsid w:val="00FE5F56"/>
    <w:rsid w:val="00FF261B"/>
    <w:rsid w:val="00FF6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642E68E7"/>
  <w15:docId w15:val="{4B3BB238-0217-40A4-8BF0-CE1C7706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4E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4EB"/>
    <w:rPr>
      <w:rFonts w:ascii="Cambria" w:hAnsi="Cambria"/>
      <w:sz w:val="18"/>
      <w:szCs w:val="18"/>
    </w:rPr>
  </w:style>
  <w:style w:type="character" w:customStyle="1" w:styleId="a4">
    <w:name w:val="註解方塊文字 字元"/>
    <w:link w:val="a3"/>
    <w:uiPriority w:val="99"/>
    <w:semiHidden/>
    <w:rsid w:val="007B04EB"/>
    <w:rPr>
      <w:rFonts w:ascii="Cambria" w:eastAsia="新細明體" w:hAnsi="Cambria" w:cs="Times New Roman"/>
      <w:sz w:val="18"/>
      <w:szCs w:val="18"/>
    </w:rPr>
  </w:style>
  <w:style w:type="paragraph" w:customStyle="1" w:styleId="1">
    <w:name w:val="內文1"/>
    <w:rsid w:val="007B04EB"/>
    <w:pPr>
      <w:widowControl w:val="0"/>
      <w:adjustRightInd w:val="0"/>
      <w:spacing w:line="360" w:lineRule="atLeast"/>
      <w:textAlignment w:val="baseline"/>
    </w:pPr>
    <w:rPr>
      <w:rFonts w:ascii="細明體" w:eastAsia="細明體" w:hAnsi="Times New Roman"/>
      <w:sz w:val="24"/>
    </w:rPr>
  </w:style>
  <w:style w:type="paragraph" w:styleId="a5">
    <w:name w:val="Body Text"/>
    <w:basedOn w:val="a"/>
    <w:link w:val="a6"/>
    <w:rsid w:val="00BB052C"/>
    <w:rPr>
      <w:rFonts w:ascii="標楷體" w:eastAsia="標楷體"/>
      <w:color w:val="000000"/>
    </w:rPr>
  </w:style>
  <w:style w:type="character" w:customStyle="1" w:styleId="a6">
    <w:name w:val="本文 字元"/>
    <w:link w:val="a5"/>
    <w:rsid w:val="00BB052C"/>
    <w:rPr>
      <w:rFonts w:ascii="標楷體" w:eastAsia="標楷體" w:hAnsi="Times New Roman" w:cs="Times New Roman"/>
      <w:color w:val="000000"/>
      <w:szCs w:val="20"/>
    </w:rPr>
  </w:style>
  <w:style w:type="paragraph" w:styleId="a7">
    <w:name w:val="header"/>
    <w:basedOn w:val="a"/>
    <w:link w:val="a8"/>
    <w:uiPriority w:val="99"/>
    <w:unhideWhenUsed/>
    <w:rsid w:val="00091150"/>
    <w:pPr>
      <w:tabs>
        <w:tab w:val="center" w:pos="4153"/>
        <w:tab w:val="right" w:pos="8306"/>
      </w:tabs>
      <w:snapToGrid w:val="0"/>
    </w:pPr>
    <w:rPr>
      <w:sz w:val="20"/>
    </w:rPr>
  </w:style>
  <w:style w:type="character" w:customStyle="1" w:styleId="a8">
    <w:name w:val="頁首 字元"/>
    <w:link w:val="a7"/>
    <w:uiPriority w:val="99"/>
    <w:rsid w:val="00091150"/>
    <w:rPr>
      <w:rFonts w:ascii="Times New Roman" w:eastAsia="新細明體" w:hAnsi="Times New Roman" w:cs="Times New Roman"/>
      <w:sz w:val="20"/>
      <w:szCs w:val="20"/>
    </w:rPr>
  </w:style>
  <w:style w:type="paragraph" w:styleId="a9">
    <w:name w:val="footer"/>
    <w:basedOn w:val="a"/>
    <w:link w:val="aa"/>
    <w:uiPriority w:val="99"/>
    <w:unhideWhenUsed/>
    <w:rsid w:val="00091150"/>
    <w:pPr>
      <w:tabs>
        <w:tab w:val="center" w:pos="4153"/>
        <w:tab w:val="right" w:pos="8306"/>
      </w:tabs>
      <w:snapToGrid w:val="0"/>
    </w:pPr>
    <w:rPr>
      <w:sz w:val="20"/>
    </w:rPr>
  </w:style>
  <w:style w:type="character" w:customStyle="1" w:styleId="aa">
    <w:name w:val="頁尾 字元"/>
    <w:link w:val="a9"/>
    <w:uiPriority w:val="99"/>
    <w:rsid w:val="00091150"/>
    <w:rPr>
      <w:rFonts w:ascii="Times New Roman" w:eastAsia="新細明體" w:hAnsi="Times New Roman" w:cs="Times New Roman"/>
      <w:sz w:val="20"/>
      <w:szCs w:val="20"/>
    </w:rPr>
  </w:style>
  <w:style w:type="paragraph" w:customStyle="1" w:styleId="10">
    <w:name w:val="樣式1"/>
    <w:basedOn w:val="a"/>
    <w:rsid w:val="00D42DF4"/>
    <w:pPr>
      <w:widowControl/>
      <w:kinsoku w:val="0"/>
      <w:autoSpaceDE w:val="0"/>
      <w:autoSpaceDN w:val="0"/>
      <w:adjustRightInd w:val="0"/>
      <w:spacing w:before="240"/>
      <w:ind w:left="1191" w:hanging="1191"/>
      <w:textAlignment w:val="center"/>
    </w:pPr>
    <w:rPr>
      <w:rFonts w:ascii="華康中楷體" w:eastAsia="華康中楷體"/>
      <w:kern w:val="0"/>
    </w:rPr>
  </w:style>
  <w:style w:type="table" w:styleId="ab">
    <w:name w:val="Table Grid"/>
    <w:basedOn w:val="a1"/>
    <w:rsid w:val="00A014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991D0E"/>
    <w:pPr>
      <w:widowControl/>
      <w:spacing w:before="100" w:beforeAutospacing="1"/>
    </w:pPr>
    <w:rPr>
      <w:rFonts w:ascii="新細明體" w:hAnsi="新細明體" w:cs="新細明體"/>
      <w:kern w:val="0"/>
      <w:szCs w:val="24"/>
    </w:rPr>
  </w:style>
  <w:style w:type="paragraph" w:styleId="ac">
    <w:name w:val="Body Text Indent"/>
    <w:basedOn w:val="a"/>
    <w:link w:val="ad"/>
    <w:uiPriority w:val="99"/>
    <w:unhideWhenUsed/>
    <w:rsid w:val="006545FB"/>
    <w:pPr>
      <w:spacing w:after="120"/>
      <w:ind w:leftChars="200" w:left="480"/>
    </w:pPr>
  </w:style>
  <w:style w:type="character" w:customStyle="1" w:styleId="ad">
    <w:name w:val="本文縮排 字元"/>
    <w:link w:val="ac"/>
    <w:uiPriority w:val="99"/>
    <w:rsid w:val="006545FB"/>
    <w:rPr>
      <w:rFonts w:ascii="Times New Roman" w:hAnsi="Times New Roman"/>
      <w:kern w:val="2"/>
      <w:sz w:val="24"/>
    </w:rPr>
  </w:style>
  <w:style w:type="paragraph" w:styleId="Web">
    <w:name w:val="Normal (Web)"/>
    <w:basedOn w:val="a"/>
    <w:uiPriority w:val="99"/>
    <w:unhideWhenUsed/>
    <w:rsid w:val="00B56256"/>
    <w:pPr>
      <w:widowControl/>
      <w:spacing w:before="100" w:beforeAutospacing="1" w:after="142" w:line="288" w:lineRule="auto"/>
    </w:pPr>
    <w:rPr>
      <w:rFonts w:ascii="新細明體" w:hAnsi="新細明體" w:cs="新細明體"/>
      <w:kern w:val="0"/>
      <w:szCs w:val="24"/>
    </w:rPr>
  </w:style>
  <w:style w:type="paragraph" w:styleId="ae">
    <w:name w:val="Date"/>
    <w:basedOn w:val="a"/>
    <w:next w:val="a"/>
    <w:link w:val="af"/>
    <w:uiPriority w:val="99"/>
    <w:semiHidden/>
    <w:unhideWhenUsed/>
    <w:rsid w:val="00B56256"/>
    <w:pPr>
      <w:jc w:val="right"/>
    </w:pPr>
  </w:style>
  <w:style w:type="character" w:customStyle="1" w:styleId="af">
    <w:name w:val="日期 字元"/>
    <w:link w:val="ae"/>
    <w:uiPriority w:val="99"/>
    <w:semiHidden/>
    <w:rsid w:val="00B56256"/>
    <w:rPr>
      <w:rFonts w:ascii="Times New Roman" w:hAnsi="Times New Roman"/>
      <w:kern w:val="2"/>
      <w:sz w:val="24"/>
    </w:rPr>
  </w:style>
  <w:style w:type="paragraph" w:customStyle="1" w:styleId="2">
    <w:name w:val="內文2"/>
    <w:rsid w:val="004C739B"/>
    <w:pPr>
      <w:widowControl w:val="0"/>
      <w:adjustRightInd w:val="0"/>
      <w:spacing w:line="360" w:lineRule="atLeast"/>
      <w:textAlignment w:val="baseline"/>
    </w:pPr>
    <w:rPr>
      <w:rFonts w:ascii="細明體" w:eastAsia="細明體" w:hAnsi="Times New Roman"/>
      <w:sz w:val="24"/>
    </w:rPr>
  </w:style>
  <w:style w:type="character" w:styleId="af0">
    <w:name w:val="Hyperlink"/>
    <w:uiPriority w:val="99"/>
    <w:semiHidden/>
    <w:unhideWhenUsed/>
    <w:rsid w:val="007B7159"/>
    <w:rPr>
      <w:color w:val="0000FF"/>
      <w:u w:val="single"/>
    </w:rPr>
  </w:style>
  <w:style w:type="character" w:styleId="af1">
    <w:name w:val="annotation reference"/>
    <w:uiPriority w:val="99"/>
    <w:semiHidden/>
    <w:unhideWhenUsed/>
    <w:rsid w:val="001B5424"/>
    <w:rPr>
      <w:sz w:val="18"/>
      <w:szCs w:val="18"/>
    </w:rPr>
  </w:style>
  <w:style w:type="paragraph" w:styleId="af2">
    <w:name w:val="annotation text"/>
    <w:basedOn w:val="a"/>
    <w:link w:val="af3"/>
    <w:uiPriority w:val="99"/>
    <w:semiHidden/>
    <w:unhideWhenUsed/>
    <w:rsid w:val="001B5424"/>
  </w:style>
  <w:style w:type="character" w:customStyle="1" w:styleId="af3">
    <w:name w:val="註解文字 字元"/>
    <w:link w:val="af2"/>
    <w:uiPriority w:val="99"/>
    <w:semiHidden/>
    <w:rsid w:val="001B5424"/>
    <w:rPr>
      <w:rFonts w:ascii="Times New Roman" w:hAnsi="Times New Roman"/>
      <w:kern w:val="2"/>
      <w:sz w:val="24"/>
    </w:rPr>
  </w:style>
  <w:style w:type="paragraph" w:styleId="af4">
    <w:name w:val="annotation subject"/>
    <w:basedOn w:val="af2"/>
    <w:next w:val="af2"/>
    <w:link w:val="af5"/>
    <w:uiPriority w:val="99"/>
    <w:semiHidden/>
    <w:unhideWhenUsed/>
    <w:rsid w:val="001B5424"/>
    <w:rPr>
      <w:b/>
      <w:bCs/>
    </w:rPr>
  </w:style>
  <w:style w:type="character" w:customStyle="1" w:styleId="af5">
    <w:name w:val="註解主旨 字元"/>
    <w:link w:val="af4"/>
    <w:uiPriority w:val="99"/>
    <w:semiHidden/>
    <w:rsid w:val="001B5424"/>
    <w:rPr>
      <w:rFonts w:ascii="Times New Roman" w:hAnsi="Times New Roman"/>
      <w:b/>
      <w:bCs/>
      <w:kern w:val="2"/>
      <w:sz w:val="24"/>
    </w:rPr>
  </w:style>
  <w:style w:type="paragraph" w:styleId="af6">
    <w:name w:val="List Paragraph"/>
    <w:basedOn w:val="a"/>
    <w:uiPriority w:val="34"/>
    <w:qFormat/>
    <w:rsid w:val="009B3456"/>
    <w:pPr>
      <w:widowControl/>
      <w:ind w:left="480"/>
    </w:pPr>
    <w:rPr>
      <w:rFonts w:ascii="Calibri" w:hAnsi="Calibri" w:cs="新細明體"/>
      <w:kern w:val="0"/>
      <w:szCs w:val="24"/>
    </w:rPr>
  </w:style>
  <w:style w:type="character" w:customStyle="1" w:styleId="20">
    <w:name w:val="預設段落字型2"/>
    <w:rsid w:val="006270C9"/>
  </w:style>
  <w:style w:type="paragraph" w:customStyle="1" w:styleId="21">
    <w:name w:val="內文2"/>
    <w:rsid w:val="00B75820"/>
    <w:pPr>
      <w:widowControl w:val="0"/>
      <w:adjustRightInd w:val="0"/>
      <w:spacing w:line="360" w:lineRule="atLeast"/>
      <w:textAlignment w:val="baseline"/>
    </w:pPr>
    <w:rPr>
      <w:rFonts w:ascii="細明體" w:eastAsia="細明體" w:hAnsi="Times New Roman"/>
      <w:sz w:val="24"/>
    </w:rPr>
  </w:style>
  <w:style w:type="paragraph" w:styleId="af7">
    <w:name w:val="Plain Text"/>
    <w:basedOn w:val="a"/>
    <w:link w:val="af8"/>
    <w:uiPriority w:val="99"/>
    <w:semiHidden/>
    <w:unhideWhenUsed/>
    <w:rsid w:val="00F647E5"/>
    <w:rPr>
      <w:rFonts w:ascii="Calibri" w:hAnsi="Courier New" w:cs="Courier New"/>
      <w:szCs w:val="24"/>
    </w:rPr>
  </w:style>
  <w:style w:type="character" w:customStyle="1" w:styleId="af8">
    <w:name w:val="純文字 字元"/>
    <w:link w:val="af7"/>
    <w:uiPriority w:val="99"/>
    <w:semiHidden/>
    <w:rsid w:val="00F647E5"/>
    <w:rPr>
      <w:rFonts w:hAnsi="Courier New" w:cs="Courier New"/>
      <w:kern w:val="2"/>
      <w:sz w:val="24"/>
      <w:szCs w:val="24"/>
    </w:rPr>
  </w:style>
  <w:style w:type="character" w:styleId="af9">
    <w:name w:val="Strong"/>
    <w:basedOn w:val="a0"/>
    <w:uiPriority w:val="22"/>
    <w:qFormat/>
    <w:rsid w:val="00733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870">
      <w:bodyDiv w:val="1"/>
      <w:marLeft w:val="0"/>
      <w:marRight w:val="0"/>
      <w:marTop w:val="0"/>
      <w:marBottom w:val="0"/>
      <w:divBdr>
        <w:top w:val="none" w:sz="0" w:space="0" w:color="auto"/>
        <w:left w:val="none" w:sz="0" w:space="0" w:color="auto"/>
        <w:bottom w:val="none" w:sz="0" w:space="0" w:color="auto"/>
        <w:right w:val="none" w:sz="0" w:space="0" w:color="auto"/>
      </w:divBdr>
    </w:div>
    <w:div w:id="445587147">
      <w:bodyDiv w:val="1"/>
      <w:marLeft w:val="0"/>
      <w:marRight w:val="0"/>
      <w:marTop w:val="0"/>
      <w:marBottom w:val="0"/>
      <w:divBdr>
        <w:top w:val="none" w:sz="0" w:space="0" w:color="auto"/>
        <w:left w:val="none" w:sz="0" w:space="0" w:color="auto"/>
        <w:bottom w:val="none" w:sz="0" w:space="0" w:color="auto"/>
        <w:right w:val="none" w:sz="0" w:space="0" w:color="auto"/>
      </w:divBdr>
    </w:div>
    <w:div w:id="582371009">
      <w:bodyDiv w:val="1"/>
      <w:marLeft w:val="0"/>
      <w:marRight w:val="0"/>
      <w:marTop w:val="0"/>
      <w:marBottom w:val="0"/>
      <w:divBdr>
        <w:top w:val="none" w:sz="0" w:space="0" w:color="auto"/>
        <w:left w:val="none" w:sz="0" w:space="0" w:color="auto"/>
        <w:bottom w:val="none" w:sz="0" w:space="0" w:color="auto"/>
        <w:right w:val="none" w:sz="0" w:space="0" w:color="auto"/>
      </w:divBdr>
    </w:div>
    <w:div w:id="664672771">
      <w:bodyDiv w:val="1"/>
      <w:marLeft w:val="0"/>
      <w:marRight w:val="0"/>
      <w:marTop w:val="0"/>
      <w:marBottom w:val="0"/>
      <w:divBdr>
        <w:top w:val="none" w:sz="0" w:space="0" w:color="auto"/>
        <w:left w:val="none" w:sz="0" w:space="0" w:color="auto"/>
        <w:bottom w:val="none" w:sz="0" w:space="0" w:color="auto"/>
        <w:right w:val="none" w:sz="0" w:space="0" w:color="auto"/>
      </w:divBdr>
    </w:div>
    <w:div w:id="687145917">
      <w:bodyDiv w:val="1"/>
      <w:marLeft w:val="0"/>
      <w:marRight w:val="0"/>
      <w:marTop w:val="0"/>
      <w:marBottom w:val="0"/>
      <w:divBdr>
        <w:top w:val="none" w:sz="0" w:space="0" w:color="auto"/>
        <w:left w:val="none" w:sz="0" w:space="0" w:color="auto"/>
        <w:bottom w:val="none" w:sz="0" w:space="0" w:color="auto"/>
        <w:right w:val="none" w:sz="0" w:space="0" w:color="auto"/>
      </w:divBdr>
    </w:div>
    <w:div w:id="929630385">
      <w:bodyDiv w:val="1"/>
      <w:marLeft w:val="0"/>
      <w:marRight w:val="0"/>
      <w:marTop w:val="0"/>
      <w:marBottom w:val="0"/>
      <w:divBdr>
        <w:top w:val="none" w:sz="0" w:space="0" w:color="auto"/>
        <w:left w:val="none" w:sz="0" w:space="0" w:color="auto"/>
        <w:bottom w:val="none" w:sz="0" w:space="0" w:color="auto"/>
        <w:right w:val="none" w:sz="0" w:space="0" w:color="auto"/>
      </w:divBdr>
    </w:div>
    <w:div w:id="1092236393">
      <w:bodyDiv w:val="1"/>
      <w:marLeft w:val="0"/>
      <w:marRight w:val="0"/>
      <w:marTop w:val="0"/>
      <w:marBottom w:val="0"/>
      <w:divBdr>
        <w:top w:val="none" w:sz="0" w:space="0" w:color="auto"/>
        <w:left w:val="none" w:sz="0" w:space="0" w:color="auto"/>
        <w:bottom w:val="none" w:sz="0" w:space="0" w:color="auto"/>
        <w:right w:val="none" w:sz="0" w:space="0" w:color="auto"/>
      </w:divBdr>
    </w:div>
    <w:div w:id="1276520784">
      <w:bodyDiv w:val="1"/>
      <w:marLeft w:val="0"/>
      <w:marRight w:val="0"/>
      <w:marTop w:val="0"/>
      <w:marBottom w:val="0"/>
      <w:divBdr>
        <w:top w:val="none" w:sz="0" w:space="0" w:color="auto"/>
        <w:left w:val="none" w:sz="0" w:space="0" w:color="auto"/>
        <w:bottom w:val="none" w:sz="0" w:space="0" w:color="auto"/>
        <w:right w:val="none" w:sz="0" w:space="0" w:color="auto"/>
      </w:divBdr>
    </w:div>
    <w:div w:id="131394398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596206721">
      <w:bodyDiv w:val="1"/>
      <w:marLeft w:val="0"/>
      <w:marRight w:val="0"/>
      <w:marTop w:val="0"/>
      <w:marBottom w:val="0"/>
      <w:divBdr>
        <w:top w:val="none" w:sz="0" w:space="0" w:color="auto"/>
        <w:left w:val="none" w:sz="0" w:space="0" w:color="auto"/>
        <w:bottom w:val="none" w:sz="0" w:space="0" w:color="auto"/>
        <w:right w:val="none" w:sz="0" w:space="0" w:color="auto"/>
      </w:divBdr>
    </w:div>
    <w:div w:id="1703246162">
      <w:bodyDiv w:val="1"/>
      <w:marLeft w:val="0"/>
      <w:marRight w:val="0"/>
      <w:marTop w:val="0"/>
      <w:marBottom w:val="0"/>
      <w:divBdr>
        <w:top w:val="none" w:sz="0" w:space="0" w:color="auto"/>
        <w:left w:val="none" w:sz="0" w:space="0" w:color="auto"/>
        <w:bottom w:val="none" w:sz="0" w:space="0" w:color="auto"/>
        <w:right w:val="none" w:sz="0" w:space="0" w:color="auto"/>
      </w:divBdr>
    </w:div>
    <w:div w:id="1829859245">
      <w:bodyDiv w:val="1"/>
      <w:marLeft w:val="0"/>
      <w:marRight w:val="0"/>
      <w:marTop w:val="0"/>
      <w:marBottom w:val="0"/>
      <w:divBdr>
        <w:top w:val="none" w:sz="0" w:space="0" w:color="auto"/>
        <w:left w:val="none" w:sz="0" w:space="0" w:color="auto"/>
        <w:bottom w:val="none" w:sz="0" w:space="0" w:color="auto"/>
        <w:right w:val="none" w:sz="0" w:space="0" w:color="auto"/>
      </w:divBdr>
    </w:div>
    <w:div w:id="1941643107">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8FFA4E-A8CB-4528-9032-7EC99C59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jjn</dc:creator>
  <cp:keywords/>
  <cp:lastModifiedBy>BACL 汐止 Alpha Liu劉中流</cp:lastModifiedBy>
  <cp:revision>5</cp:revision>
  <cp:lastPrinted>2020-05-07T03:14:00Z</cp:lastPrinted>
  <dcterms:created xsi:type="dcterms:W3CDTF">2024-07-18T08:22:00Z</dcterms:created>
  <dcterms:modified xsi:type="dcterms:W3CDTF">2024-07-18T08:54:00Z</dcterms:modified>
</cp:coreProperties>
</file>